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017607015"/>
        <w:docPartObj>
          <w:docPartGallery w:val="Cover Pages"/>
          <w:docPartUnique/>
        </w:docPartObj>
      </w:sdtPr>
      <w:sdtEndPr>
        <w:rPr>
          <w:caps/>
          <w:color w:val="4BACC6" w:themeColor="accent5"/>
          <w:sz w:val="24"/>
          <w:szCs w:val="24"/>
        </w:rPr>
      </w:sdtEndPr>
      <w:sdtContent>
        <w:p w14:paraId="55D591E0" w14:textId="77777777" w:rsidR="005B2ABD" w:rsidRDefault="005B2ABD"/>
        <w:tbl>
          <w:tblPr>
            <w:tblpPr w:leftFromText="187" w:rightFromText="187" w:horzAnchor="margin" w:tblpXSpec="center" w:tblpY="2881"/>
            <w:tblW w:w="3988" w:type="pct"/>
            <w:tblBorders>
              <w:left w:val="single" w:sz="12" w:space="0" w:color="4F81BD" w:themeColor="accent1"/>
            </w:tblBorders>
            <w:tblCellMar>
              <w:left w:w="144" w:type="dxa"/>
              <w:right w:w="115" w:type="dxa"/>
            </w:tblCellMar>
            <w:tblLook w:val="04A0" w:firstRow="1" w:lastRow="0" w:firstColumn="1" w:lastColumn="0" w:noHBand="0" w:noVBand="1"/>
          </w:tblPr>
          <w:tblGrid>
            <w:gridCol w:w="11121"/>
          </w:tblGrid>
          <w:tr w:rsidR="005B2ABD" w14:paraId="1F22610F" w14:textId="77777777" w:rsidTr="00D026D6">
            <w:tc>
              <w:tcPr>
                <w:tcW w:w="7405" w:type="dxa"/>
              </w:tcPr>
              <w:sdt>
                <w:sdtPr>
                  <w:rPr>
                    <w:rFonts w:asciiTheme="majorHAnsi" w:eastAsiaTheme="majorEastAsia" w:hAnsiTheme="majorHAnsi" w:cstheme="majorBidi"/>
                    <w:color w:val="4F81BD" w:themeColor="accent1"/>
                    <w:sz w:val="88"/>
                    <w:szCs w:val="88"/>
                  </w:rPr>
                  <w:alias w:val="Title"/>
                  <w:id w:val="13406919"/>
                  <w:placeholder>
                    <w:docPart w:val="0E90F8DA605B4E69881376820A9E8111"/>
                  </w:placeholder>
                  <w:dataBinding w:prefixMappings="xmlns:ns0='http://schemas.openxmlformats.org/package/2006/metadata/core-properties' xmlns:ns1='http://purl.org/dc/elements/1.1/'" w:xpath="/ns0:coreProperties[1]/ns1:title[1]" w:storeItemID="{6C3C8BC8-F283-45AE-878A-BAB7291924A1}"/>
                  <w:text/>
                </w:sdtPr>
                <w:sdtEndPr/>
                <w:sdtContent>
                  <w:p w14:paraId="7D4A1C08" w14:textId="77777777" w:rsidR="005B2ABD" w:rsidRDefault="00705149">
                    <w:pPr>
                      <w:pStyle w:val="NoSpacing"/>
                      <w:spacing w:line="216" w:lineRule="auto"/>
                      <w:rPr>
                        <w:rFonts w:asciiTheme="majorHAnsi" w:eastAsiaTheme="majorEastAsia" w:hAnsiTheme="majorHAnsi" w:cstheme="majorBidi"/>
                        <w:color w:val="4F81BD" w:themeColor="accent1"/>
                        <w:sz w:val="88"/>
                        <w:szCs w:val="88"/>
                      </w:rPr>
                    </w:pPr>
                    <w:r>
                      <w:rPr>
                        <w:rFonts w:asciiTheme="majorHAnsi" w:eastAsiaTheme="majorEastAsia" w:hAnsiTheme="majorHAnsi" w:cstheme="majorBidi"/>
                        <w:color w:val="4F81BD" w:themeColor="accent1"/>
                        <w:sz w:val="88"/>
                        <w:szCs w:val="88"/>
                      </w:rPr>
                      <w:t>Malta’s Annual Report pursuant to Article 24(1) of Directive 2012/27/EU on Energy Efficiency</w:t>
                    </w:r>
                  </w:p>
                </w:sdtContent>
              </w:sdt>
            </w:tc>
          </w:tr>
          <w:tr w:rsidR="005B2ABD" w14:paraId="5D1686E2" w14:textId="77777777" w:rsidTr="00D026D6">
            <w:sdt>
              <w:sdtPr>
                <w:rPr>
                  <w:color w:val="365F91" w:themeColor="accent1" w:themeShade="BF"/>
                  <w:sz w:val="24"/>
                  <w:szCs w:val="24"/>
                </w:rPr>
                <w:alias w:val="Subtitle"/>
                <w:id w:val="13406923"/>
                <w:placeholder>
                  <w:docPart w:val="630AE7FE84554CE6ADE1B2DE9BC8E300"/>
                </w:placeholder>
                <w:dataBinding w:prefixMappings="xmlns:ns0='http://schemas.openxmlformats.org/package/2006/metadata/core-properties' xmlns:ns1='http://purl.org/dc/elements/1.1/'" w:xpath="/ns0:coreProperties[1]/ns1:subject[1]" w:storeItemID="{6C3C8BC8-F283-45AE-878A-BAB7291924A1}"/>
                <w:text/>
              </w:sdtPr>
              <w:sdtEndPr/>
              <w:sdtContent>
                <w:tc>
                  <w:tcPr>
                    <w:tcW w:w="7405" w:type="dxa"/>
                    <w:tcMar>
                      <w:top w:w="216" w:type="dxa"/>
                      <w:left w:w="115" w:type="dxa"/>
                      <w:bottom w:w="216" w:type="dxa"/>
                      <w:right w:w="115" w:type="dxa"/>
                    </w:tcMar>
                  </w:tcPr>
                  <w:p w14:paraId="04F2438F" w14:textId="1B437CDB" w:rsidR="005B2ABD" w:rsidRDefault="00705149">
                    <w:pPr>
                      <w:pStyle w:val="NoSpacing"/>
                      <w:rPr>
                        <w:color w:val="365F91" w:themeColor="accent1" w:themeShade="BF"/>
                        <w:sz w:val="24"/>
                      </w:rPr>
                    </w:pPr>
                    <w:r>
                      <w:rPr>
                        <w:color w:val="365F91" w:themeColor="accent1" w:themeShade="BF"/>
                        <w:sz w:val="24"/>
                        <w:szCs w:val="24"/>
                      </w:rPr>
                      <w:t>April 2020</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10767"/>
          </w:tblGrid>
          <w:tr w:rsidR="005B2ABD" w14:paraId="2582D8E7" w14:textId="77777777">
            <w:tc>
              <w:tcPr>
                <w:tcW w:w="7221" w:type="dxa"/>
                <w:tcMar>
                  <w:top w:w="216" w:type="dxa"/>
                  <w:left w:w="115" w:type="dxa"/>
                  <w:bottom w:w="216" w:type="dxa"/>
                  <w:right w:w="115" w:type="dxa"/>
                </w:tcMar>
              </w:tcPr>
              <w:sdt>
                <w:sdtPr>
                  <w:rPr>
                    <w:color w:val="4F81BD" w:themeColor="accent1"/>
                    <w:sz w:val="28"/>
                    <w:szCs w:val="28"/>
                  </w:rPr>
                  <w:alias w:val="Author"/>
                  <w:id w:val="13406928"/>
                  <w:placeholder>
                    <w:docPart w:val="621400D7D1404229831F87BCB237C826"/>
                  </w:placeholder>
                  <w:dataBinding w:prefixMappings="xmlns:ns0='http://schemas.openxmlformats.org/package/2006/metadata/core-properties' xmlns:ns1='http://purl.org/dc/elements/1.1/'" w:xpath="/ns0:coreProperties[1]/ns1:creator[1]" w:storeItemID="{6C3C8BC8-F283-45AE-878A-BAB7291924A1}"/>
                  <w:text/>
                </w:sdtPr>
                <w:sdtEndPr/>
                <w:sdtContent>
                  <w:p w14:paraId="4441864F" w14:textId="77777777" w:rsidR="005B2ABD" w:rsidRDefault="00705149">
                    <w:pPr>
                      <w:pStyle w:val="NoSpacing"/>
                      <w:rPr>
                        <w:color w:val="4F81BD" w:themeColor="accent1"/>
                        <w:sz w:val="28"/>
                        <w:szCs w:val="28"/>
                      </w:rPr>
                    </w:pPr>
                    <w:r>
                      <w:rPr>
                        <w:color w:val="4F81BD" w:themeColor="accent1"/>
                        <w:sz w:val="28"/>
                        <w:szCs w:val="28"/>
                      </w:rPr>
                      <w:t>The Energy and Water Agency, Ministry for Energy and Water Management</w:t>
                    </w:r>
                  </w:p>
                </w:sdtContent>
              </w:sdt>
              <w:p w14:paraId="20CA685B" w14:textId="77777777" w:rsidR="005B2ABD" w:rsidRDefault="005B2ABD">
                <w:pPr>
                  <w:pStyle w:val="NoSpacing"/>
                  <w:rPr>
                    <w:color w:val="4F81BD" w:themeColor="accent1"/>
                    <w:sz w:val="28"/>
                    <w:szCs w:val="28"/>
                  </w:rPr>
                </w:pPr>
              </w:p>
              <w:p w14:paraId="101234DE" w14:textId="77777777" w:rsidR="005B2ABD" w:rsidRDefault="005B2ABD">
                <w:pPr>
                  <w:pStyle w:val="NoSpacing"/>
                  <w:rPr>
                    <w:color w:val="4F81BD" w:themeColor="accent1"/>
                  </w:rPr>
                </w:pPr>
              </w:p>
            </w:tc>
          </w:tr>
        </w:tbl>
        <w:p w14:paraId="27C7EEDC" w14:textId="77777777" w:rsidR="005B2ABD" w:rsidRDefault="005B2ABD">
          <w:pPr>
            <w:rPr>
              <w:caps/>
              <w:color w:val="4BACC6" w:themeColor="accent5"/>
              <w:sz w:val="24"/>
              <w:szCs w:val="24"/>
            </w:rPr>
          </w:pPr>
          <w:r>
            <w:rPr>
              <w:caps/>
              <w:color w:val="4BACC6" w:themeColor="accent5"/>
              <w:sz w:val="24"/>
              <w:szCs w:val="24"/>
            </w:rPr>
            <w:br w:type="page"/>
          </w:r>
        </w:p>
      </w:sdtContent>
    </w:sdt>
    <w:sdt>
      <w:sdtPr>
        <w:rPr>
          <w:rFonts w:asciiTheme="minorHAnsi" w:eastAsiaTheme="minorHAnsi" w:hAnsiTheme="minorHAnsi" w:cstheme="minorBidi"/>
          <w:color w:val="auto"/>
          <w:sz w:val="22"/>
          <w:szCs w:val="22"/>
          <w:lang w:val="en-GB"/>
        </w:rPr>
        <w:id w:val="-1667084706"/>
        <w:docPartObj>
          <w:docPartGallery w:val="Table of Contents"/>
          <w:docPartUnique/>
        </w:docPartObj>
      </w:sdtPr>
      <w:sdtEndPr>
        <w:rPr>
          <w:b/>
          <w:bCs/>
          <w:noProof/>
        </w:rPr>
      </w:sdtEndPr>
      <w:sdtContent>
        <w:p w14:paraId="3C2338B3" w14:textId="77777777" w:rsidR="00BB33A8" w:rsidRDefault="00BB33A8">
          <w:pPr>
            <w:pStyle w:val="TOCHeading"/>
          </w:pPr>
          <w:r>
            <w:t>Contents</w:t>
          </w:r>
        </w:p>
        <w:p w14:paraId="2E430F82" w14:textId="77777777" w:rsidR="00BB33A8" w:rsidRPr="00BB33A8" w:rsidRDefault="00BB33A8" w:rsidP="00BB33A8">
          <w:pPr>
            <w:rPr>
              <w:lang w:val="en-US"/>
            </w:rPr>
          </w:pPr>
        </w:p>
        <w:p w14:paraId="5DB6B7F4" w14:textId="58D610D1" w:rsidR="00CF23FE" w:rsidRDefault="00BB33A8">
          <w:pPr>
            <w:pStyle w:val="TOC1"/>
            <w:tabs>
              <w:tab w:val="left" w:pos="440"/>
              <w:tab w:val="right" w:leader="dot" w:pos="9016"/>
            </w:tabs>
            <w:rPr>
              <w:rFonts w:eastAsiaTheme="minorEastAsia"/>
              <w:noProof/>
              <w:lang w:eastAsia="en-GB"/>
            </w:rPr>
          </w:pPr>
          <w:r>
            <w:rPr>
              <w:b/>
              <w:bCs/>
              <w:noProof/>
            </w:rPr>
            <w:fldChar w:fldCharType="begin"/>
          </w:r>
          <w:r>
            <w:rPr>
              <w:b/>
              <w:bCs/>
              <w:noProof/>
            </w:rPr>
            <w:instrText xml:space="preserve"> TOC \o "1-3" \h \z \u </w:instrText>
          </w:r>
          <w:r>
            <w:rPr>
              <w:b/>
              <w:bCs/>
              <w:noProof/>
            </w:rPr>
            <w:fldChar w:fldCharType="separate"/>
          </w:r>
          <w:hyperlink w:anchor="_Toc6229938" w:history="1">
            <w:r w:rsidR="00CF23FE" w:rsidRPr="00E6211E">
              <w:rPr>
                <w:rStyle w:val="Hyperlink"/>
                <w:noProof/>
              </w:rPr>
              <w:t>1</w:t>
            </w:r>
            <w:r w:rsidR="00CF23FE">
              <w:rPr>
                <w:rFonts w:eastAsiaTheme="minorEastAsia"/>
                <w:noProof/>
                <w:lang w:eastAsia="en-GB"/>
              </w:rPr>
              <w:tab/>
            </w:r>
            <w:r w:rsidR="00CF23FE" w:rsidRPr="00E6211E">
              <w:rPr>
                <w:rStyle w:val="Hyperlink"/>
                <w:noProof/>
              </w:rPr>
              <w:t>Indicative national energy efficiency target for 2020</w:t>
            </w:r>
            <w:r w:rsidR="00CF23FE">
              <w:rPr>
                <w:noProof/>
                <w:webHidden/>
              </w:rPr>
              <w:tab/>
            </w:r>
            <w:r w:rsidR="00CF23FE">
              <w:rPr>
                <w:noProof/>
                <w:webHidden/>
              </w:rPr>
              <w:fldChar w:fldCharType="begin"/>
            </w:r>
            <w:r w:rsidR="00CF23FE">
              <w:rPr>
                <w:noProof/>
                <w:webHidden/>
              </w:rPr>
              <w:instrText xml:space="preserve"> PAGEREF _Toc6229938 \h </w:instrText>
            </w:r>
            <w:r w:rsidR="00CF23FE">
              <w:rPr>
                <w:noProof/>
                <w:webHidden/>
              </w:rPr>
            </w:r>
            <w:r w:rsidR="00CF23FE">
              <w:rPr>
                <w:noProof/>
                <w:webHidden/>
              </w:rPr>
              <w:fldChar w:fldCharType="separate"/>
            </w:r>
            <w:r w:rsidR="00014611">
              <w:rPr>
                <w:noProof/>
                <w:webHidden/>
              </w:rPr>
              <w:t>2</w:t>
            </w:r>
            <w:r w:rsidR="00CF23FE">
              <w:rPr>
                <w:noProof/>
                <w:webHidden/>
              </w:rPr>
              <w:fldChar w:fldCharType="end"/>
            </w:r>
          </w:hyperlink>
        </w:p>
        <w:p w14:paraId="45BC01A7" w14:textId="18D1AB69" w:rsidR="00CF23FE" w:rsidRDefault="00437A73">
          <w:pPr>
            <w:pStyle w:val="TOC1"/>
            <w:tabs>
              <w:tab w:val="left" w:pos="440"/>
              <w:tab w:val="right" w:leader="dot" w:pos="9016"/>
            </w:tabs>
            <w:rPr>
              <w:rFonts w:eastAsiaTheme="minorEastAsia"/>
              <w:noProof/>
              <w:lang w:eastAsia="en-GB"/>
            </w:rPr>
          </w:pPr>
          <w:hyperlink w:anchor="_Toc6229939" w:history="1">
            <w:r w:rsidR="00CF23FE" w:rsidRPr="00E6211E">
              <w:rPr>
                <w:rStyle w:val="Hyperlink"/>
                <w:noProof/>
              </w:rPr>
              <w:t>2</w:t>
            </w:r>
            <w:r w:rsidR="00CF23FE">
              <w:rPr>
                <w:rFonts w:eastAsiaTheme="minorEastAsia"/>
                <w:noProof/>
                <w:lang w:eastAsia="en-GB"/>
              </w:rPr>
              <w:tab/>
            </w:r>
            <w:r w:rsidR="00CF23FE" w:rsidRPr="00E6211E">
              <w:rPr>
                <w:rStyle w:val="Hyperlink"/>
                <w:noProof/>
              </w:rPr>
              <w:t>Indicators</w:t>
            </w:r>
            <w:r w:rsidR="00CF23FE">
              <w:rPr>
                <w:noProof/>
                <w:webHidden/>
              </w:rPr>
              <w:tab/>
            </w:r>
            <w:r w:rsidR="00CF23FE">
              <w:rPr>
                <w:noProof/>
                <w:webHidden/>
              </w:rPr>
              <w:fldChar w:fldCharType="begin"/>
            </w:r>
            <w:r w:rsidR="00CF23FE">
              <w:rPr>
                <w:noProof/>
                <w:webHidden/>
              </w:rPr>
              <w:instrText xml:space="preserve"> PAGEREF _Toc6229939 \h </w:instrText>
            </w:r>
            <w:r w:rsidR="00CF23FE">
              <w:rPr>
                <w:noProof/>
                <w:webHidden/>
              </w:rPr>
            </w:r>
            <w:r w:rsidR="00CF23FE">
              <w:rPr>
                <w:noProof/>
                <w:webHidden/>
              </w:rPr>
              <w:fldChar w:fldCharType="separate"/>
            </w:r>
            <w:r w:rsidR="00014611">
              <w:rPr>
                <w:noProof/>
                <w:webHidden/>
              </w:rPr>
              <w:t>2</w:t>
            </w:r>
            <w:r w:rsidR="00CF23FE">
              <w:rPr>
                <w:noProof/>
                <w:webHidden/>
              </w:rPr>
              <w:fldChar w:fldCharType="end"/>
            </w:r>
          </w:hyperlink>
        </w:p>
        <w:p w14:paraId="589840BA" w14:textId="46552D3E" w:rsidR="00CF23FE" w:rsidRDefault="00437A73">
          <w:pPr>
            <w:pStyle w:val="TOC2"/>
            <w:tabs>
              <w:tab w:val="left" w:pos="880"/>
              <w:tab w:val="right" w:leader="dot" w:pos="9016"/>
            </w:tabs>
            <w:rPr>
              <w:rFonts w:eastAsiaTheme="minorEastAsia"/>
              <w:noProof/>
              <w:lang w:eastAsia="en-GB"/>
            </w:rPr>
          </w:pPr>
          <w:hyperlink w:anchor="_Toc6229940" w:history="1">
            <w:r w:rsidR="00CF23FE" w:rsidRPr="00E6211E">
              <w:rPr>
                <w:rStyle w:val="Hyperlink"/>
                <w:noProof/>
              </w:rPr>
              <w:t>2.1</w:t>
            </w:r>
            <w:r w:rsidR="00CF23FE">
              <w:rPr>
                <w:rFonts w:eastAsiaTheme="minorEastAsia"/>
                <w:noProof/>
                <w:lang w:eastAsia="en-GB"/>
              </w:rPr>
              <w:tab/>
            </w:r>
            <w:r w:rsidR="00CF23FE" w:rsidRPr="00E6211E">
              <w:rPr>
                <w:rStyle w:val="Hyperlink"/>
                <w:noProof/>
              </w:rPr>
              <w:t>Indicators for 201</w:t>
            </w:r>
            <w:r w:rsidR="00A902A0">
              <w:rPr>
                <w:rStyle w:val="Hyperlink"/>
                <w:noProof/>
              </w:rPr>
              <w:t>8</w:t>
            </w:r>
            <w:r w:rsidR="00CF23FE">
              <w:rPr>
                <w:noProof/>
                <w:webHidden/>
              </w:rPr>
              <w:tab/>
            </w:r>
            <w:r w:rsidR="00CF23FE">
              <w:rPr>
                <w:noProof/>
                <w:webHidden/>
              </w:rPr>
              <w:fldChar w:fldCharType="begin"/>
            </w:r>
            <w:r w:rsidR="00CF23FE">
              <w:rPr>
                <w:noProof/>
                <w:webHidden/>
              </w:rPr>
              <w:instrText xml:space="preserve"> PAGEREF _Toc6229940 \h </w:instrText>
            </w:r>
            <w:r w:rsidR="00CF23FE">
              <w:rPr>
                <w:noProof/>
                <w:webHidden/>
              </w:rPr>
            </w:r>
            <w:r w:rsidR="00CF23FE">
              <w:rPr>
                <w:noProof/>
                <w:webHidden/>
              </w:rPr>
              <w:fldChar w:fldCharType="separate"/>
            </w:r>
            <w:r w:rsidR="00014611">
              <w:rPr>
                <w:noProof/>
                <w:webHidden/>
              </w:rPr>
              <w:t>2</w:t>
            </w:r>
            <w:r w:rsidR="00CF23FE">
              <w:rPr>
                <w:noProof/>
                <w:webHidden/>
              </w:rPr>
              <w:fldChar w:fldCharType="end"/>
            </w:r>
          </w:hyperlink>
        </w:p>
        <w:p w14:paraId="63F81056" w14:textId="27EAE9D9" w:rsidR="00CF23FE" w:rsidRDefault="00437A73">
          <w:pPr>
            <w:pStyle w:val="TOC2"/>
            <w:tabs>
              <w:tab w:val="left" w:pos="880"/>
              <w:tab w:val="right" w:leader="dot" w:pos="9016"/>
            </w:tabs>
            <w:rPr>
              <w:rFonts w:eastAsiaTheme="minorEastAsia"/>
              <w:noProof/>
              <w:lang w:eastAsia="en-GB"/>
            </w:rPr>
          </w:pPr>
          <w:hyperlink w:anchor="_Toc6229941" w:history="1">
            <w:r w:rsidR="00CF23FE" w:rsidRPr="00E6211E">
              <w:rPr>
                <w:rStyle w:val="Hyperlink"/>
                <w:noProof/>
              </w:rPr>
              <w:t>2.2</w:t>
            </w:r>
            <w:r w:rsidR="00CF23FE">
              <w:rPr>
                <w:rFonts w:eastAsiaTheme="minorEastAsia"/>
                <w:noProof/>
                <w:lang w:eastAsia="en-GB"/>
              </w:rPr>
              <w:tab/>
            </w:r>
            <w:r w:rsidR="00CF23FE" w:rsidRPr="00E6211E">
              <w:rPr>
                <w:rStyle w:val="Hyperlink"/>
                <w:noProof/>
              </w:rPr>
              <w:t>Analysis of changes in energy consumption</w:t>
            </w:r>
            <w:r w:rsidR="00CF23FE">
              <w:rPr>
                <w:noProof/>
                <w:webHidden/>
              </w:rPr>
              <w:tab/>
            </w:r>
            <w:r w:rsidR="00CF23FE">
              <w:rPr>
                <w:noProof/>
                <w:webHidden/>
              </w:rPr>
              <w:fldChar w:fldCharType="begin"/>
            </w:r>
            <w:r w:rsidR="00CF23FE">
              <w:rPr>
                <w:noProof/>
                <w:webHidden/>
              </w:rPr>
              <w:instrText xml:space="preserve"> PAGEREF _Toc6229941 \h </w:instrText>
            </w:r>
            <w:r w:rsidR="00CF23FE">
              <w:rPr>
                <w:noProof/>
                <w:webHidden/>
              </w:rPr>
            </w:r>
            <w:r w:rsidR="00CF23FE">
              <w:rPr>
                <w:noProof/>
                <w:webHidden/>
              </w:rPr>
              <w:fldChar w:fldCharType="separate"/>
            </w:r>
            <w:r w:rsidR="00014611">
              <w:rPr>
                <w:noProof/>
                <w:webHidden/>
              </w:rPr>
              <w:t>3</w:t>
            </w:r>
            <w:r w:rsidR="00CF23FE">
              <w:rPr>
                <w:noProof/>
                <w:webHidden/>
              </w:rPr>
              <w:fldChar w:fldCharType="end"/>
            </w:r>
          </w:hyperlink>
        </w:p>
        <w:p w14:paraId="3E979B3E" w14:textId="4212A7AE" w:rsidR="00CF23FE" w:rsidRDefault="00437A73">
          <w:pPr>
            <w:pStyle w:val="TOC1"/>
            <w:tabs>
              <w:tab w:val="left" w:pos="440"/>
              <w:tab w:val="right" w:leader="dot" w:pos="9016"/>
            </w:tabs>
            <w:rPr>
              <w:rFonts w:eastAsiaTheme="minorEastAsia"/>
              <w:noProof/>
              <w:lang w:eastAsia="en-GB"/>
            </w:rPr>
          </w:pPr>
          <w:hyperlink w:anchor="_Toc6229942" w:history="1">
            <w:r w:rsidR="00CF23FE" w:rsidRPr="00E6211E">
              <w:rPr>
                <w:rStyle w:val="Hyperlink"/>
                <w:noProof/>
              </w:rPr>
              <w:t>3</w:t>
            </w:r>
            <w:r w:rsidR="00CF23FE">
              <w:rPr>
                <w:rFonts w:eastAsiaTheme="minorEastAsia"/>
                <w:noProof/>
                <w:lang w:eastAsia="en-GB"/>
              </w:rPr>
              <w:tab/>
            </w:r>
            <w:r w:rsidR="00CF23FE" w:rsidRPr="00E6211E">
              <w:rPr>
                <w:rStyle w:val="Hyperlink"/>
                <w:noProof/>
              </w:rPr>
              <w:t>Major legislative and non-legislative measures</w:t>
            </w:r>
            <w:r w:rsidR="00CF23FE">
              <w:rPr>
                <w:noProof/>
                <w:webHidden/>
              </w:rPr>
              <w:tab/>
            </w:r>
            <w:r w:rsidR="00CF23FE">
              <w:rPr>
                <w:noProof/>
                <w:webHidden/>
              </w:rPr>
              <w:fldChar w:fldCharType="begin"/>
            </w:r>
            <w:r w:rsidR="00CF23FE">
              <w:rPr>
                <w:noProof/>
                <w:webHidden/>
              </w:rPr>
              <w:instrText xml:space="preserve"> PAGEREF _Toc6229942 \h </w:instrText>
            </w:r>
            <w:r w:rsidR="00CF23FE">
              <w:rPr>
                <w:noProof/>
                <w:webHidden/>
              </w:rPr>
            </w:r>
            <w:r w:rsidR="00CF23FE">
              <w:rPr>
                <w:noProof/>
                <w:webHidden/>
              </w:rPr>
              <w:fldChar w:fldCharType="separate"/>
            </w:r>
            <w:r w:rsidR="00014611">
              <w:rPr>
                <w:noProof/>
                <w:webHidden/>
              </w:rPr>
              <w:t>7</w:t>
            </w:r>
            <w:r w:rsidR="00CF23FE">
              <w:rPr>
                <w:noProof/>
                <w:webHidden/>
              </w:rPr>
              <w:fldChar w:fldCharType="end"/>
            </w:r>
          </w:hyperlink>
        </w:p>
        <w:p w14:paraId="592B77DB" w14:textId="50A9A9D1" w:rsidR="00CF23FE" w:rsidRDefault="00437A73">
          <w:pPr>
            <w:pStyle w:val="TOC1"/>
            <w:tabs>
              <w:tab w:val="left" w:pos="440"/>
              <w:tab w:val="right" w:leader="dot" w:pos="9016"/>
            </w:tabs>
            <w:rPr>
              <w:rFonts w:eastAsiaTheme="minorEastAsia"/>
              <w:noProof/>
              <w:lang w:eastAsia="en-GB"/>
            </w:rPr>
          </w:pPr>
          <w:hyperlink w:anchor="_Toc6229943" w:history="1">
            <w:r w:rsidR="00CF23FE" w:rsidRPr="0067516B">
              <w:rPr>
                <w:rStyle w:val="Hyperlink"/>
                <w:rFonts w:eastAsia="Times New Roman"/>
                <w:noProof/>
                <w:lang w:eastAsia="en-GB"/>
              </w:rPr>
              <w:t>4</w:t>
            </w:r>
            <w:r w:rsidR="00CF23FE" w:rsidRPr="0067516B">
              <w:rPr>
                <w:rFonts w:eastAsiaTheme="minorEastAsia"/>
                <w:noProof/>
                <w:lang w:eastAsia="en-GB"/>
              </w:rPr>
              <w:tab/>
            </w:r>
            <w:r w:rsidR="00CF23FE" w:rsidRPr="0067516B">
              <w:rPr>
                <w:rStyle w:val="Hyperlink"/>
                <w:noProof/>
              </w:rPr>
              <w:t>Central government buildings – Article 5</w:t>
            </w:r>
            <w:r w:rsidR="00CF23FE" w:rsidRPr="0067516B">
              <w:rPr>
                <w:noProof/>
                <w:webHidden/>
              </w:rPr>
              <w:tab/>
            </w:r>
            <w:r w:rsidR="00CF23FE" w:rsidRPr="0067516B">
              <w:rPr>
                <w:noProof/>
                <w:webHidden/>
              </w:rPr>
              <w:fldChar w:fldCharType="begin"/>
            </w:r>
            <w:r w:rsidR="00CF23FE" w:rsidRPr="0067516B">
              <w:rPr>
                <w:noProof/>
                <w:webHidden/>
              </w:rPr>
              <w:instrText xml:space="preserve"> PAGEREF _Toc6229943 \h </w:instrText>
            </w:r>
            <w:r w:rsidR="00CF23FE" w:rsidRPr="0067516B">
              <w:rPr>
                <w:noProof/>
                <w:webHidden/>
              </w:rPr>
            </w:r>
            <w:r w:rsidR="00CF23FE" w:rsidRPr="0067516B">
              <w:rPr>
                <w:noProof/>
                <w:webHidden/>
              </w:rPr>
              <w:fldChar w:fldCharType="separate"/>
            </w:r>
            <w:r w:rsidR="00014611" w:rsidRPr="0067516B">
              <w:rPr>
                <w:noProof/>
                <w:webHidden/>
              </w:rPr>
              <w:t>10</w:t>
            </w:r>
            <w:r w:rsidR="00CF23FE" w:rsidRPr="0067516B">
              <w:rPr>
                <w:noProof/>
                <w:webHidden/>
              </w:rPr>
              <w:fldChar w:fldCharType="end"/>
            </w:r>
          </w:hyperlink>
        </w:p>
        <w:p w14:paraId="73A200B2" w14:textId="68677664" w:rsidR="00CF23FE" w:rsidRDefault="00437A73">
          <w:pPr>
            <w:pStyle w:val="TOC1"/>
            <w:tabs>
              <w:tab w:val="left" w:pos="440"/>
              <w:tab w:val="right" w:leader="dot" w:pos="9016"/>
            </w:tabs>
            <w:rPr>
              <w:rFonts w:eastAsiaTheme="minorEastAsia"/>
              <w:noProof/>
              <w:lang w:eastAsia="en-GB"/>
            </w:rPr>
          </w:pPr>
          <w:hyperlink w:anchor="_Toc6229944" w:history="1">
            <w:r w:rsidR="00CF23FE" w:rsidRPr="00E6211E">
              <w:rPr>
                <w:rStyle w:val="Hyperlink"/>
                <w:noProof/>
              </w:rPr>
              <w:t>5</w:t>
            </w:r>
            <w:r w:rsidR="00CF23FE">
              <w:rPr>
                <w:rFonts w:eastAsiaTheme="minorEastAsia"/>
                <w:noProof/>
                <w:lang w:eastAsia="en-GB"/>
              </w:rPr>
              <w:tab/>
            </w:r>
            <w:r w:rsidR="00CF23FE" w:rsidRPr="00E6211E">
              <w:rPr>
                <w:rStyle w:val="Hyperlink"/>
                <w:noProof/>
              </w:rPr>
              <w:t>Energy savings – Article 7</w:t>
            </w:r>
            <w:r w:rsidR="00CF23FE">
              <w:rPr>
                <w:noProof/>
                <w:webHidden/>
              </w:rPr>
              <w:tab/>
            </w:r>
            <w:r w:rsidR="00CF23FE">
              <w:rPr>
                <w:noProof/>
                <w:webHidden/>
              </w:rPr>
              <w:fldChar w:fldCharType="begin"/>
            </w:r>
            <w:r w:rsidR="00CF23FE">
              <w:rPr>
                <w:noProof/>
                <w:webHidden/>
              </w:rPr>
              <w:instrText xml:space="preserve"> PAGEREF _Toc6229944 \h </w:instrText>
            </w:r>
            <w:r w:rsidR="00CF23FE">
              <w:rPr>
                <w:noProof/>
                <w:webHidden/>
              </w:rPr>
            </w:r>
            <w:r w:rsidR="00CF23FE">
              <w:rPr>
                <w:noProof/>
                <w:webHidden/>
              </w:rPr>
              <w:fldChar w:fldCharType="separate"/>
            </w:r>
            <w:r w:rsidR="00014611">
              <w:rPr>
                <w:noProof/>
                <w:webHidden/>
              </w:rPr>
              <w:t>10</w:t>
            </w:r>
            <w:r w:rsidR="00CF23FE">
              <w:rPr>
                <w:noProof/>
                <w:webHidden/>
              </w:rPr>
              <w:fldChar w:fldCharType="end"/>
            </w:r>
          </w:hyperlink>
        </w:p>
        <w:p w14:paraId="29019B56" w14:textId="77777777" w:rsidR="00BB33A8" w:rsidRDefault="00BB33A8">
          <w:r>
            <w:rPr>
              <w:b/>
              <w:bCs/>
              <w:noProof/>
            </w:rPr>
            <w:fldChar w:fldCharType="end"/>
          </w:r>
        </w:p>
      </w:sdtContent>
    </w:sdt>
    <w:p w14:paraId="3DB0F0A8" w14:textId="77777777" w:rsidR="00BB33A8" w:rsidRDefault="00BB33A8">
      <w:pPr>
        <w:rPr>
          <w:rFonts w:asciiTheme="majorHAnsi" w:eastAsiaTheme="majorEastAsia" w:hAnsiTheme="majorHAnsi" w:cstheme="majorBidi"/>
          <w:color w:val="365F91" w:themeColor="accent1" w:themeShade="BF"/>
          <w:sz w:val="32"/>
          <w:szCs w:val="32"/>
        </w:rPr>
      </w:pPr>
      <w:r>
        <w:br w:type="page"/>
      </w:r>
    </w:p>
    <w:p w14:paraId="480D42A2" w14:textId="77777777" w:rsidR="007D15C2" w:rsidRDefault="007D15C2" w:rsidP="00B34D0D">
      <w:pPr>
        <w:pStyle w:val="Heading1"/>
      </w:pPr>
      <w:bookmarkStart w:id="0" w:name="_Toc6229938"/>
      <w:r>
        <w:lastRenderedPageBreak/>
        <w:t>Indicative national energy efficiency target for 2020</w:t>
      </w:r>
      <w:bookmarkEnd w:id="0"/>
    </w:p>
    <w:p w14:paraId="3FC22661" w14:textId="77777777" w:rsidR="007D15C2" w:rsidRDefault="007D15C2" w:rsidP="007D15C2"/>
    <w:p w14:paraId="69DF80D4" w14:textId="0BA9B482" w:rsidR="0021746A" w:rsidRPr="00ED0A50" w:rsidRDefault="0021746A" w:rsidP="0021746A">
      <w:pPr>
        <w:jc w:val="both"/>
        <w:rPr>
          <w:rFonts w:cstheme="minorHAnsi"/>
          <w:bCs/>
          <w:color w:val="000000"/>
        </w:rPr>
      </w:pPr>
      <w:r w:rsidRPr="00ED0A50">
        <w:rPr>
          <w:rFonts w:cstheme="minorHAnsi"/>
          <w:bCs/>
          <w:color w:val="000000"/>
        </w:rPr>
        <w:t>In December 201</w:t>
      </w:r>
      <w:r w:rsidR="00B849F5">
        <w:rPr>
          <w:rFonts w:cstheme="minorHAnsi"/>
          <w:bCs/>
          <w:color w:val="000000"/>
        </w:rPr>
        <w:t>9</w:t>
      </w:r>
      <w:r w:rsidRPr="00ED0A50">
        <w:rPr>
          <w:rFonts w:cstheme="minorHAnsi"/>
          <w:bCs/>
          <w:color w:val="000000"/>
        </w:rPr>
        <w:t xml:space="preserve">, Malta submitted its </w:t>
      </w:r>
      <w:r w:rsidR="00B849F5">
        <w:rPr>
          <w:rFonts w:cstheme="minorHAnsi"/>
          <w:bCs/>
          <w:color w:val="000000"/>
        </w:rPr>
        <w:t xml:space="preserve">final </w:t>
      </w:r>
      <w:r w:rsidRPr="00ED0A50">
        <w:rPr>
          <w:rFonts w:cstheme="minorHAnsi"/>
          <w:bCs/>
          <w:color w:val="000000"/>
        </w:rPr>
        <w:t>National Energy and Climate Plan in line with the Regulation EU/2018/1999 on the Governance of the Energy Union and Climate Action.  In preparation of the Plan</w:t>
      </w:r>
      <w:r>
        <w:rPr>
          <w:rFonts w:cstheme="minorHAnsi"/>
          <w:bCs/>
          <w:color w:val="000000"/>
        </w:rPr>
        <w:t>,</w:t>
      </w:r>
      <w:r w:rsidRPr="00ED0A50">
        <w:rPr>
          <w:rFonts w:cstheme="minorHAnsi"/>
          <w:bCs/>
          <w:color w:val="000000"/>
        </w:rPr>
        <w:t xml:space="preserve"> an updated set of macro-economic projections, based on more recent statistical data, has since been developed</w:t>
      </w:r>
      <w:r>
        <w:rPr>
          <w:rFonts w:cstheme="minorHAnsi"/>
          <w:bCs/>
          <w:color w:val="000000"/>
        </w:rPr>
        <w:t>.</w:t>
      </w:r>
      <w:r w:rsidRPr="00ED0A50">
        <w:rPr>
          <w:rFonts w:cstheme="minorHAnsi"/>
          <w:bCs/>
          <w:color w:val="000000"/>
        </w:rPr>
        <w:t xml:space="preserve"> </w:t>
      </w:r>
      <w:r>
        <w:rPr>
          <w:rFonts w:cstheme="minorHAnsi"/>
          <w:bCs/>
          <w:color w:val="000000"/>
        </w:rPr>
        <w:t>The</w:t>
      </w:r>
      <w:r w:rsidRPr="00ED0A50">
        <w:rPr>
          <w:rFonts w:cstheme="minorHAnsi"/>
          <w:bCs/>
          <w:color w:val="000000"/>
        </w:rPr>
        <w:t xml:space="preserve"> Plan identifies energy intensity as the optimal indicator to benchmark Malta’s ambitions in a scenario of continuous economic growth. </w:t>
      </w:r>
    </w:p>
    <w:p w14:paraId="06118BA1" w14:textId="5E41577B" w:rsidR="007D15C2" w:rsidRPr="007D15C2" w:rsidRDefault="00D92B04" w:rsidP="00D92B04">
      <w:pPr>
        <w:jc w:val="both"/>
      </w:pPr>
      <w:r>
        <w:rPr>
          <w:rFonts w:cstheme="minorHAnsi"/>
          <w:bCs/>
          <w:color w:val="000000"/>
        </w:rPr>
        <w:t xml:space="preserve">Due to the current situation and the extraordinary times we are facing due to COVID19, the country </w:t>
      </w:r>
      <w:r w:rsidRPr="00D92B04">
        <w:rPr>
          <w:rFonts w:cstheme="minorHAnsi"/>
          <w:bCs/>
          <w:color w:val="000000"/>
        </w:rPr>
        <w:t xml:space="preserve">will be analysing how this </w:t>
      </w:r>
      <w:r w:rsidR="009C28DC">
        <w:rPr>
          <w:rFonts w:cstheme="minorHAnsi"/>
          <w:bCs/>
          <w:color w:val="000000"/>
        </w:rPr>
        <w:t>is impacting</w:t>
      </w:r>
      <w:r w:rsidRPr="00D92B04">
        <w:rPr>
          <w:rFonts w:cstheme="minorHAnsi"/>
          <w:bCs/>
          <w:color w:val="000000"/>
        </w:rPr>
        <w:t xml:space="preserve"> energy consumption as well as macro</w:t>
      </w:r>
      <w:r w:rsidRPr="00D92B04">
        <w:rPr>
          <w:rFonts w:cstheme="minorHAnsi"/>
          <w:bCs/>
          <w:color w:val="000000"/>
        </w:rPr>
        <w:noBreakHyphen/>
        <w:t>economic f</w:t>
      </w:r>
      <w:r w:rsidR="009C28DC">
        <w:rPr>
          <w:rFonts w:cstheme="minorHAnsi"/>
          <w:bCs/>
          <w:color w:val="000000"/>
        </w:rPr>
        <w:t>actors such as GDP</w:t>
      </w:r>
      <w:r w:rsidRPr="00D92B04">
        <w:rPr>
          <w:rFonts w:cstheme="minorHAnsi"/>
          <w:bCs/>
          <w:color w:val="000000"/>
        </w:rPr>
        <w:t xml:space="preserve"> to assess if any new patterns have emerged.</w:t>
      </w:r>
      <w:r>
        <w:rPr>
          <w:rFonts w:ascii="Times New Roman" w:hAnsi="Times New Roman" w:cs="Times New Roman"/>
          <w:bCs/>
          <w:color w:val="000000"/>
        </w:rPr>
        <w:t xml:space="preserve"> </w:t>
      </w:r>
    </w:p>
    <w:p w14:paraId="6A265CED" w14:textId="77777777" w:rsidR="00A45775" w:rsidRDefault="00B34D0D" w:rsidP="00B34D0D">
      <w:pPr>
        <w:pStyle w:val="Heading1"/>
      </w:pPr>
      <w:bookmarkStart w:id="1" w:name="_Toc6229939"/>
      <w:r>
        <w:t>Indicators</w:t>
      </w:r>
      <w:bookmarkEnd w:id="1"/>
    </w:p>
    <w:p w14:paraId="5CC7EE33" w14:textId="77777777" w:rsidR="00BB33A8" w:rsidRDefault="00BB33A8" w:rsidP="00BB33A8">
      <w:pPr>
        <w:pStyle w:val="Heading2"/>
        <w:numPr>
          <w:ilvl w:val="0"/>
          <w:numId w:val="0"/>
        </w:numPr>
        <w:ind w:left="576" w:hanging="576"/>
      </w:pPr>
    </w:p>
    <w:p w14:paraId="7D0A0F43" w14:textId="2BCF1A45" w:rsidR="00A45775" w:rsidRDefault="00A45775" w:rsidP="00A45775">
      <w:pPr>
        <w:pStyle w:val="Heading2"/>
      </w:pPr>
      <w:bookmarkStart w:id="2" w:name="_Toc6229940"/>
      <w:r>
        <w:t>Indicators for 201</w:t>
      </w:r>
      <w:bookmarkEnd w:id="2"/>
      <w:r w:rsidR="006B4198">
        <w:t>8</w:t>
      </w:r>
    </w:p>
    <w:p w14:paraId="05F87D65" w14:textId="77777777" w:rsidR="00BB33A8" w:rsidRDefault="00BB33A8" w:rsidP="00A45775"/>
    <w:p w14:paraId="28EF4F81" w14:textId="1AAEA16E" w:rsidR="00A45775" w:rsidRDefault="00A45775" w:rsidP="00A45775">
      <w:r>
        <w:t xml:space="preserve">Annex XIV Part 1 requires Member States to include the indicators </w:t>
      </w:r>
      <w:r w:rsidR="00BB33A8">
        <w:t xml:space="preserve">listed in </w:t>
      </w:r>
      <w:r w:rsidR="00BB33A8">
        <w:fldChar w:fldCharType="begin"/>
      </w:r>
      <w:r w:rsidR="00BB33A8">
        <w:instrText xml:space="preserve"> REF _Ref5864974 \h </w:instrText>
      </w:r>
      <w:r w:rsidR="00BB33A8">
        <w:fldChar w:fldCharType="separate"/>
      </w:r>
      <w:r w:rsidR="000C5602">
        <w:t xml:space="preserve">Table </w:t>
      </w:r>
      <w:r w:rsidR="000C5602">
        <w:rPr>
          <w:noProof/>
        </w:rPr>
        <w:t>1</w:t>
      </w:r>
      <w:r w:rsidR="00BB33A8">
        <w:fldChar w:fldCharType="end"/>
      </w:r>
      <w:r w:rsidRPr="00A45775">
        <w:t xml:space="preserve"> </w:t>
      </w:r>
      <w:r>
        <w:t>for year 201</w:t>
      </w:r>
      <w:r w:rsidR="006B4198">
        <w:t>8</w:t>
      </w:r>
      <w:r>
        <w:t xml:space="preserve">. </w:t>
      </w:r>
    </w:p>
    <w:p w14:paraId="7FC9CA19" w14:textId="77777777" w:rsidR="00CF1827" w:rsidRDefault="00CF1827" w:rsidP="00A45775">
      <w:pPr>
        <w:pStyle w:val="Caption"/>
        <w:keepNext/>
      </w:pPr>
    </w:p>
    <w:p w14:paraId="7B5B10CC" w14:textId="4A9B2400" w:rsidR="00A45775" w:rsidRDefault="00A45775" w:rsidP="00A45775">
      <w:pPr>
        <w:pStyle w:val="Caption"/>
        <w:keepNext/>
      </w:pPr>
      <w:bookmarkStart w:id="3" w:name="_Ref5864974"/>
      <w:r>
        <w:t xml:space="preserve">Table </w:t>
      </w:r>
      <w:r w:rsidR="00242F95">
        <w:rPr>
          <w:noProof/>
        </w:rPr>
        <w:fldChar w:fldCharType="begin"/>
      </w:r>
      <w:r w:rsidR="00242F95">
        <w:rPr>
          <w:noProof/>
        </w:rPr>
        <w:instrText xml:space="preserve"> SEQ Table \* ARABIC </w:instrText>
      </w:r>
      <w:r w:rsidR="00242F95">
        <w:rPr>
          <w:noProof/>
        </w:rPr>
        <w:fldChar w:fldCharType="separate"/>
      </w:r>
      <w:r w:rsidR="000C5602">
        <w:rPr>
          <w:noProof/>
        </w:rPr>
        <w:t>1</w:t>
      </w:r>
      <w:r w:rsidR="00242F95">
        <w:rPr>
          <w:noProof/>
        </w:rPr>
        <w:fldChar w:fldCharType="end"/>
      </w:r>
      <w:bookmarkEnd w:id="3"/>
      <w:r>
        <w:t xml:space="preserve"> – List of indicators for 201</w:t>
      </w:r>
      <w:r w:rsidR="006B4198">
        <w:t>8</w:t>
      </w:r>
    </w:p>
    <w:tbl>
      <w:tblPr>
        <w:tblStyle w:val="PlainTable1"/>
        <w:tblW w:w="0" w:type="auto"/>
        <w:tblLook w:val="04A0" w:firstRow="1" w:lastRow="0" w:firstColumn="1" w:lastColumn="0" w:noHBand="0" w:noVBand="1"/>
      </w:tblPr>
      <w:tblGrid>
        <w:gridCol w:w="2660"/>
        <w:gridCol w:w="1107"/>
        <w:gridCol w:w="2153"/>
        <w:gridCol w:w="3322"/>
      </w:tblGrid>
      <w:tr w:rsidR="00A45775" w:rsidRPr="00A45775" w14:paraId="661E5380" w14:textId="77777777" w:rsidTr="007946E7">
        <w:trPr>
          <w:cnfStyle w:val="100000000000" w:firstRow="1" w:lastRow="0" w:firstColumn="0" w:lastColumn="0" w:oddVBand="0" w:evenVBand="0" w:oddHBand="0" w:evenHBand="0" w:firstRowFirstColumn="0" w:firstRowLastColumn="0" w:lastRowFirstColumn="0" w:lastRowLastColumn="0"/>
          <w:trHeight w:val="419"/>
          <w:tblHeader/>
        </w:trPr>
        <w:tc>
          <w:tcPr>
            <w:cnfStyle w:val="001000000000" w:firstRow="0" w:lastRow="0" w:firstColumn="1" w:lastColumn="0" w:oddVBand="0" w:evenVBand="0" w:oddHBand="0" w:evenHBand="0" w:firstRowFirstColumn="0" w:firstRowLastColumn="0" w:lastRowFirstColumn="0" w:lastRowLastColumn="0"/>
            <w:tcW w:w="2660" w:type="dxa"/>
            <w:hideMark/>
          </w:tcPr>
          <w:p w14:paraId="6FA05BB7" w14:textId="77777777" w:rsidR="00A45775" w:rsidRPr="00A45775" w:rsidRDefault="00A45775" w:rsidP="00A45775">
            <w:pPr>
              <w:jc w:val="center"/>
              <w:rPr>
                <w:rFonts w:ascii="Calibri" w:eastAsia="Times New Roman" w:hAnsi="Calibri" w:cs="Calibri"/>
                <w:color w:val="000000"/>
                <w:lang w:eastAsia="en-GB"/>
              </w:rPr>
            </w:pPr>
            <w:r w:rsidRPr="00A45775">
              <w:rPr>
                <w:rFonts w:ascii="Calibri" w:eastAsia="Times New Roman" w:hAnsi="Calibri" w:cs="Calibri"/>
                <w:color w:val="000000"/>
                <w:lang w:eastAsia="en-GB"/>
              </w:rPr>
              <w:t>AR Indicator</w:t>
            </w:r>
          </w:p>
        </w:tc>
        <w:tc>
          <w:tcPr>
            <w:tcW w:w="1107" w:type="dxa"/>
          </w:tcPr>
          <w:p w14:paraId="75EB7430" w14:textId="77777777" w:rsidR="00A45775" w:rsidRPr="00A45775" w:rsidRDefault="00A45775" w:rsidP="00A4577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A45775">
              <w:rPr>
                <w:rFonts w:ascii="Calibri" w:eastAsia="Times New Roman" w:hAnsi="Calibri" w:cs="Calibri"/>
                <w:color w:val="000000"/>
                <w:lang w:eastAsia="en-GB"/>
              </w:rPr>
              <w:t>Data field</w:t>
            </w:r>
          </w:p>
        </w:tc>
        <w:tc>
          <w:tcPr>
            <w:tcW w:w="2153" w:type="dxa"/>
            <w:hideMark/>
          </w:tcPr>
          <w:p w14:paraId="64D54740" w14:textId="77777777" w:rsidR="00A45775" w:rsidRPr="00A45775" w:rsidRDefault="00A45775" w:rsidP="00A4577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A45775">
              <w:rPr>
                <w:rFonts w:ascii="Calibri" w:eastAsia="Times New Roman" w:hAnsi="Calibri" w:cs="Calibri"/>
                <w:color w:val="000000"/>
                <w:lang w:eastAsia="en-GB"/>
              </w:rPr>
              <w:t>Unit</w:t>
            </w:r>
          </w:p>
        </w:tc>
        <w:tc>
          <w:tcPr>
            <w:tcW w:w="3322" w:type="dxa"/>
            <w:hideMark/>
          </w:tcPr>
          <w:p w14:paraId="651B5F27" w14:textId="77777777" w:rsidR="00A45775" w:rsidRPr="00A45775" w:rsidRDefault="00A45775" w:rsidP="00A4577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A45775">
              <w:rPr>
                <w:rFonts w:ascii="Calibri" w:eastAsia="Times New Roman" w:hAnsi="Calibri" w:cs="Calibri"/>
                <w:color w:val="000000"/>
                <w:lang w:eastAsia="en-GB"/>
              </w:rPr>
              <w:t>Source</w:t>
            </w:r>
          </w:p>
        </w:tc>
      </w:tr>
      <w:tr w:rsidR="00A45775" w:rsidRPr="007946E7" w14:paraId="3A30DEEE" w14:textId="77777777" w:rsidTr="00334BA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660" w:type="dxa"/>
            <w:hideMark/>
          </w:tcPr>
          <w:p w14:paraId="34764AC4" w14:textId="77777777" w:rsidR="00A45775" w:rsidRPr="007946E7" w:rsidRDefault="00A45775"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Primary energy consumption</w:t>
            </w:r>
          </w:p>
        </w:tc>
        <w:tc>
          <w:tcPr>
            <w:tcW w:w="1107" w:type="dxa"/>
          </w:tcPr>
          <w:p w14:paraId="391EFEF2" w14:textId="22CBE0AC" w:rsidR="00A45775" w:rsidRPr="007946E7" w:rsidRDefault="00F30F1F"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8</w:t>
            </w:r>
            <w:r w:rsidR="0094021E">
              <w:rPr>
                <w:rFonts w:ascii="Calibri" w:eastAsia="Times New Roman" w:hAnsi="Calibri" w:cs="Calibri"/>
                <w:color w:val="000000"/>
                <w:lang w:eastAsia="en-GB"/>
              </w:rPr>
              <w:t>23</w:t>
            </w:r>
          </w:p>
        </w:tc>
        <w:tc>
          <w:tcPr>
            <w:tcW w:w="2153" w:type="dxa"/>
            <w:hideMark/>
          </w:tcPr>
          <w:p w14:paraId="7527572A" w14:textId="3B659947" w:rsidR="00A45775" w:rsidRPr="007946E7" w:rsidRDefault="00A61001"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roofErr w:type="spellStart"/>
            <w:r w:rsidRPr="007946E7">
              <w:rPr>
                <w:rFonts w:ascii="Calibri" w:eastAsia="Times New Roman" w:hAnsi="Calibri" w:cs="Calibri"/>
                <w:color w:val="000000"/>
                <w:lang w:eastAsia="en-GB"/>
              </w:rPr>
              <w:t>K</w:t>
            </w:r>
            <w:r w:rsidR="00A45775" w:rsidRPr="007946E7">
              <w:rPr>
                <w:rFonts w:ascii="Calibri" w:eastAsia="Times New Roman" w:hAnsi="Calibri" w:cs="Calibri"/>
                <w:color w:val="000000"/>
                <w:lang w:eastAsia="en-GB"/>
              </w:rPr>
              <w:t>toe</w:t>
            </w:r>
            <w:proofErr w:type="spellEnd"/>
          </w:p>
        </w:tc>
        <w:tc>
          <w:tcPr>
            <w:tcW w:w="3322" w:type="dxa"/>
            <w:hideMark/>
          </w:tcPr>
          <w:p w14:paraId="0147CA84" w14:textId="3AD1F92A" w:rsidR="00A45775" w:rsidRPr="007946E7" w:rsidRDefault="0094021E" w:rsidP="00A4577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EUROSTAT data</w:t>
            </w:r>
          </w:p>
        </w:tc>
      </w:tr>
      <w:tr w:rsidR="00A45775" w:rsidRPr="007946E7" w14:paraId="0B1FB8C7" w14:textId="77777777" w:rsidTr="00334BA0">
        <w:trPr>
          <w:trHeight w:val="600"/>
        </w:trPr>
        <w:tc>
          <w:tcPr>
            <w:cnfStyle w:val="001000000000" w:firstRow="0" w:lastRow="0" w:firstColumn="1" w:lastColumn="0" w:oddVBand="0" w:evenVBand="0" w:oddHBand="0" w:evenHBand="0" w:firstRowFirstColumn="0" w:firstRowLastColumn="0" w:lastRowFirstColumn="0" w:lastRowLastColumn="0"/>
            <w:tcW w:w="2660" w:type="dxa"/>
            <w:hideMark/>
          </w:tcPr>
          <w:p w14:paraId="7FE5140B" w14:textId="77777777" w:rsidR="00A45775" w:rsidRPr="007946E7" w:rsidRDefault="00A45775"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Total final energy consumption</w:t>
            </w:r>
          </w:p>
        </w:tc>
        <w:tc>
          <w:tcPr>
            <w:tcW w:w="1107" w:type="dxa"/>
          </w:tcPr>
          <w:p w14:paraId="123EEF85" w14:textId="07F98F4D" w:rsidR="00A45775" w:rsidRPr="007946E7" w:rsidRDefault="00110CD4"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660</w:t>
            </w:r>
          </w:p>
        </w:tc>
        <w:tc>
          <w:tcPr>
            <w:tcW w:w="2153" w:type="dxa"/>
            <w:hideMark/>
          </w:tcPr>
          <w:p w14:paraId="13778F2C" w14:textId="454868B0" w:rsidR="00A45775" w:rsidRPr="007946E7" w:rsidRDefault="00A61001"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roofErr w:type="spellStart"/>
            <w:r w:rsidRPr="007946E7">
              <w:rPr>
                <w:rFonts w:ascii="Calibri" w:eastAsia="Times New Roman" w:hAnsi="Calibri" w:cs="Calibri"/>
                <w:color w:val="000000"/>
                <w:lang w:eastAsia="en-GB"/>
              </w:rPr>
              <w:t>K</w:t>
            </w:r>
            <w:r w:rsidR="00A45775" w:rsidRPr="007946E7">
              <w:rPr>
                <w:rFonts w:ascii="Calibri" w:eastAsia="Times New Roman" w:hAnsi="Calibri" w:cs="Calibri"/>
                <w:color w:val="000000"/>
                <w:lang w:eastAsia="en-GB"/>
              </w:rPr>
              <w:t>toe</w:t>
            </w:r>
            <w:proofErr w:type="spellEnd"/>
          </w:p>
        </w:tc>
        <w:tc>
          <w:tcPr>
            <w:tcW w:w="3322" w:type="dxa"/>
            <w:hideMark/>
          </w:tcPr>
          <w:p w14:paraId="6CBC33E5" w14:textId="60FA385E" w:rsidR="00A45775" w:rsidRPr="007946E7" w:rsidRDefault="00110CD4" w:rsidP="00A4577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 xml:space="preserve">EUROSTAT data </w:t>
            </w:r>
          </w:p>
        </w:tc>
      </w:tr>
      <w:tr w:rsidR="00A45775" w:rsidRPr="007946E7" w14:paraId="7476035B" w14:textId="77777777" w:rsidTr="00334BA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660" w:type="dxa"/>
            <w:hideMark/>
          </w:tcPr>
          <w:p w14:paraId="5B006303" w14:textId="77777777" w:rsidR="00A45775" w:rsidRPr="007946E7" w:rsidRDefault="00A45775"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Final energy consumption - industry</w:t>
            </w:r>
          </w:p>
        </w:tc>
        <w:tc>
          <w:tcPr>
            <w:tcW w:w="1107" w:type="dxa"/>
          </w:tcPr>
          <w:p w14:paraId="38E35730" w14:textId="5D532D07" w:rsidR="00A45775" w:rsidRPr="007946E7" w:rsidRDefault="00E318FC"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56</w:t>
            </w:r>
          </w:p>
        </w:tc>
        <w:tc>
          <w:tcPr>
            <w:tcW w:w="2153" w:type="dxa"/>
            <w:hideMark/>
          </w:tcPr>
          <w:p w14:paraId="049491E6" w14:textId="5AB16912" w:rsidR="00A45775" w:rsidRPr="007946E7" w:rsidRDefault="00A61001"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roofErr w:type="spellStart"/>
            <w:r w:rsidRPr="007946E7">
              <w:rPr>
                <w:rFonts w:ascii="Calibri" w:eastAsia="Times New Roman" w:hAnsi="Calibri" w:cs="Calibri"/>
                <w:color w:val="000000"/>
                <w:lang w:eastAsia="en-GB"/>
              </w:rPr>
              <w:t>K</w:t>
            </w:r>
            <w:r w:rsidR="00A45775" w:rsidRPr="007946E7">
              <w:rPr>
                <w:rFonts w:ascii="Calibri" w:eastAsia="Times New Roman" w:hAnsi="Calibri" w:cs="Calibri"/>
                <w:color w:val="000000"/>
                <w:lang w:eastAsia="en-GB"/>
              </w:rPr>
              <w:t>toe</w:t>
            </w:r>
            <w:proofErr w:type="spellEnd"/>
          </w:p>
        </w:tc>
        <w:tc>
          <w:tcPr>
            <w:tcW w:w="3322" w:type="dxa"/>
            <w:hideMark/>
          </w:tcPr>
          <w:p w14:paraId="52ADE6A4" w14:textId="245086EB" w:rsidR="00A45775" w:rsidRPr="007946E7" w:rsidRDefault="0094021E" w:rsidP="00A4577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EUROSTAT data</w:t>
            </w:r>
          </w:p>
        </w:tc>
      </w:tr>
      <w:tr w:rsidR="00A45775" w:rsidRPr="007946E7" w14:paraId="49906909" w14:textId="77777777" w:rsidTr="00334BA0">
        <w:trPr>
          <w:trHeight w:val="480"/>
        </w:trPr>
        <w:tc>
          <w:tcPr>
            <w:cnfStyle w:val="001000000000" w:firstRow="0" w:lastRow="0" w:firstColumn="1" w:lastColumn="0" w:oddVBand="0" w:evenVBand="0" w:oddHBand="0" w:evenHBand="0" w:firstRowFirstColumn="0" w:firstRowLastColumn="0" w:lastRowFirstColumn="0" w:lastRowLastColumn="0"/>
            <w:tcW w:w="2660" w:type="dxa"/>
            <w:hideMark/>
          </w:tcPr>
          <w:p w14:paraId="6E6BBBD5" w14:textId="77777777" w:rsidR="00A45775" w:rsidRPr="007946E7" w:rsidRDefault="00A45775"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Final energy consumption - transport</w:t>
            </w:r>
          </w:p>
        </w:tc>
        <w:tc>
          <w:tcPr>
            <w:tcW w:w="1107" w:type="dxa"/>
          </w:tcPr>
          <w:p w14:paraId="3611CB4C" w14:textId="6B1A3F97" w:rsidR="00A45775" w:rsidRPr="007946E7" w:rsidRDefault="00E318FC"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387</w:t>
            </w:r>
          </w:p>
        </w:tc>
        <w:tc>
          <w:tcPr>
            <w:tcW w:w="2153" w:type="dxa"/>
            <w:hideMark/>
          </w:tcPr>
          <w:p w14:paraId="63B0F242" w14:textId="3C03F3FD" w:rsidR="00A45775" w:rsidRPr="007946E7" w:rsidRDefault="00A61001"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roofErr w:type="spellStart"/>
            <w:r w:rsidRPr="007946E7">
              <w:rPr>
                <w:rFonts w:ascii="Calibri" w:eastAsia="Times New Roman" w:hAnsi="Calibri" w:cs="Calibri"/>
                <w:color w:val="000000"/>
                <w:lang w:eastAsia="en-GB"/>
              </w:rPr>
              <w:t>K</w:t>
            </w:r>
            <w:r w:rsidR="00A45775" w:rsidRPr="007946E7">
              <w:rPr>
                <w:rFonts w:ascii="Calibri" w:eastAsia="Times New Roman" w:hAnsi="Calibri" w:cs="Calibri"/>
                <w:color w:val="000000"/>
                <w:lang w:eastAsia="en-GB"/>
              </w:rPr>
              <w:t>toe</w:t>
            </w:r>
            <w:proofErr w:type="spellEnd"/>
          </w:p>
        </w:tc>
        <w:tc>
          <w:tcPr>
            <w:tcW w:w="3322" w:type="dxa"/>
            <w:hideMark/>
          </w:tcPr>
          <w:p w14:paraId="164AAB0A" w14:textId="4054A3DD" w:rsidR="00A45775" w:rsidRPr="00B7535D" w:rsidRDefault="0094021E" w:rsidP="00A4577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en-GB"/>
              </w:rPr>
            </w:pPr>
            <w:r>
              <w:rPr>
                <w:rFonts w:ascii="Calibri" w:eastAsia="Times New Roman" w:hAnsi="Calibri" w:cs="Calibri"/>
                <w:color w:val="000000"/>
                <w:lang w:eastAsia="en-GB"/>
              </w:rPr>
              <w:t>EUROSTAT data</w:t>
            </w:r>
          </w:p>
        </w:tc>
      </w:tr>
      <w:tr w:rsidR="00A45775" w:rsidRPr="007946E7" w14:paraId="6988825F" w14:textId="77777777" w:rsidTr="00334BA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660" w:type="dxa"/>
            <w:hideMark/>
          </w:tcPr>
          <w:p w14:paraId="441A6645" w14:textId="06BDF2F8" w:rsidR="00A45775" w:rsidRPr="007946E7" w:rsidRDefault="00A45775"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lastRenderedPageBreak/>
              <w:t xml:space="preserve">Final energy consumption </w:t>
            </w:r>
            <w:r w:rsidR="00221E57">
              <w:rPr>
                <w:rFonts w:ascii="Calibri" w:eastAsia="Times New Roman" w:hAnsi="Calibri" w:cs="Calibri"/>
                <w:b w:val="0"/>
                <w:color w:val="000000"/>
                <w:lang w:eastAsia="en-GB"/>
              </w:rPr>
              <w:t>–</w:t>
            </w:r>
            <w:r w:rsidRPr="007946E7">
              <w:rPr>
                <w:rFonts w:ascii="Calibri" w:eastAsia="Times New Roman" w:hAnsi="Calibri" w:cs="Calibri"/>
                <w:b w:val="0"/>
                <w:color w:val="000000"/>
                <w:lang w:eastAsia="en-GB"/>
              </w:rPr>
              <w:t xml:space="preserve"> households</w:t>
            </w:r>
          </w:p>
        </w:tc>
        <w:tc>
          <w:tcPr>
            <w:tcW w:w="1107" w:type="dxa"/>
          </w:tcPr>
          <w:p w14:paraId="43D24367" w14:textId="0F6FB1E5" w:rsidR="00A45775" w:rsidRPr="007946E7" w:rsidRDefault="00E318FC"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87</w:t>
            </w:r>
          </w:p>
        </w:tc>
        <w:tc>
          <w:tcPr>
            <w:tcW w:w="2153" w:type="dxa"/>
            <w:hideMark/>
          </w:tcPr>
          <w:p w14:paraId="74709431" w14:textId="7A4D608A" w:rsidR="00A45775" w:rsidRPr="007946E7" w:rsidRDefault="00A61001"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roofErr w:type="spellStart"/>
            <w:r w:rsidRPr="007946E7">
              <w:rPr>
                <w:rFonts w:ascii="Calibri" w:eastAsia="Times New Roman" w:hAnsi="Calibri" w:cs="Calibri"/>
                <w:color w:val="000000"/>
                <w:lang w:eastAsia="en-GB"/>
              </w:rPr>
              <w:t>K</w:t>
            </w:r>
            <w:r w:rsidR="00A45775" w:rsidRPr="007946E7">
              <w:rPr>
                <w:rFonts w:ascii="Calibri" w:eastAsia="Times New Roman" w:hAnsi="Calibri" w:cs="Calibri"/>
                <w:color w:val="000000"/>
                <w:lang w:eastAsia="en-GB"/>
              </w:rPr>
              <w:t>toe</w:t>
            </w:r>
            <w:proofErr w:type="spellEnd"/>
          </w:p>
        </w:tc>
        <w:tc>
          <w:tcPr>
            <w:tcW w:w="3322" w:type="dxa"/>
            <w:hideMark/>
          </w:tcPr>
          <w:p w14:paraId="1DF20A79" w14:textId="0A1F1B7F" w:rsidR="00A45775" w:rsidRPr="007946E7" w:rsidRDefault="0094021E" w:rsidP="00A4577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EUROSTAT data</w:t>
            </w:r>
          </w:p>
        </w:tc>
      </w:tr>
      <w:tr w:rsidR="00A45775" w:rsidRPr="007946E7" w14:paraId="6F2C331B" w14:textId="77777777" w:rsidTr="00334BA0">
        <w:trPr>
          <w:trHeight w:val="480"/>
        </w:trPr>
        <w:tc>
          <w:tcPr>
            <w:cnfStyle w:val="001000000000" w:firstRow="0" w:lastRow="0" w:firstColumn="1" w:lastColumn="0" w:oddVBand="0" w:evenVBand="0" w:oddHBand="0" w:evenHBand="0" w:firstRowFirstColumn="0" w:firstRowLastColumn="0" w:lastRowFirstColumn="0" w:lastRowLastColumn="0"/>
            <w:tcW w:w="2660" w:type="dxa"/>
            <w:hideMark/>
          </w:tcPr>
          <w:p w14:paraId="34FE5C1E" w14:textId="77777777" w:rsidR="00A45775" w:rsidRPr="007946E7" w:rsidRDefault="00A45775"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Final energy consumption - services</w:t>
            </w:r>
          </w:p>
        </w:tc>
        <w:tc>
          <w:tcPr>
            <w:tcW w:w="1107" w:type="dxa"/>
          </w:tcPr>
          <w:p w14:paraId="1D20AA11" w14:textId="650475FB" w:rsidR="00A45775" w:rsidRPr="007946E7" w:rsidRDefault="00A45775"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7946E7">
              <w:rPr>
                <w:rFonts w:ascii="Calibri" w:eastAsia="Times New Roman" w:hAnsi="Calibri" w:cs="Calibri"/>
                <w:color w:val="000000"/>
                <w:lang w:eastAsia="en-GB"/>
              </w:rPr>
              <w:t>12</w:t>
            </w:r>
            <w:r w:rsidR="00E318FC">
              <w:rPr>
                <w:rFonts w:ascii="Calibri" w:eastAsia="Times New Roman" w:hAnsi="Calibri" w:cs="Calibri"/>
                <w:color w:val="000000"/>
                <w:lang w:eastAsia="en-GB"/>
              </w:rPr>
              <w:t>0</w:t>
            </w:r>
          </w:p>
        </w:tc>
        <w:tc>
          <w:tcPr>
            <w:tcW w:w="2153" w:type="dxa"/>
            <w:hideMark/>
          </w:tcPr>
          <w:p w14:paraId="09290660" w14:textId="77B953AC" w:rsidR="00A45775" w:rsidRPr="007946E7" w:rsidRDefault="00A61001"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roofErr w:type="spellStart"/>
            <w:r w:rsidRPr="007946E7">
              <w:rPr>
                <w:rFonts w:ascii="Calibri" w:eastAsia="Times New Roman" w:hAnsi="Calibri" w:cs="Calibri"/>
                <w:color w:val="000000"/>
                <w:lang w:eastAsia="en-GB"/>
              </w:rPr>
              <w:t>K</w:t>
            </w:r>
            <w:r w:rsidR="00A45775" w:rsidRPr="007946E7">
              <w:rPr>
                <w:rFonts w:ascii="Calibri" w:eastAsia="Times New Roman" w:hAnsi="Calibri" w:cs="Calibri"/>
                <w:color w:val="000000"/>
                <w:lang w:eastAsia="en-GB"/>
              </w:rPr>
              <w:t>toe</w:t>
            </w:r>
            <w:proofErr w:type="spellEnd"/>
          </w:p>
        </w:tc>
        <w:tc>
          <w:tcPr>
            <w:tcW w:w="3322" w:type="dxa"/>
            <w:hideMark/>
          </w:tcPr>
          <w:p w14:paraId="05E64D32" w14:textId="15A2D4D6" w:rsidR="00A45775" w:rsidRPr="007946E7" w:rsidRDefault="0094021E" w:rsidP="00A4577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EUROSTAT data</w:t>
            </w:r>
          </w:p>
        </w:tc>
      </w:tr>
      <w:tr w:rsidR="00A45775" w:rsidRPr="007946E7" w14:paraId="7852EEDD" w14:textId="77777777" w:rsidTr="00334BA0">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2660" w:type="dxa"/>
            <w:hideMark/>
          </w:tcPr>
          <w:p w14:paraId="0DB178A4" w14:textId="7FBCD84E" w:rsidR="00A45775" w:rsidRPr="007946E7" w:rsidRDefault="00CF1827"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G</w:t>
            </w:r>
            <w:r w:rsidR="00A45775" w:rsidRPr="007946E7">
              <w:rPr>
                <w:rFonts w:ascii="Calibri" w:eastAsia="Times New Roman" w:hAnsi="Calibri" w:cs="Calibri"/>
                <w:b w:val="0"/>
                <w:color w:val="000000"/>
                <w:lang w:eastAsia="en-GB"/>
              </w:rPr>
              <w:t xml:space="preserve">ross value added </w:t>
            </w:r>
            <w:r w:rsidR="00221E57">
              <w:rPr>
                <w:rFonts w:ascii="Calibri" w:eastAsia="Times New Roman" w:hAnsi="Calibri" w:cs="Calibri"/>
                <w:b w:val="0"/>
                <w:color w:val="000000"/>
                <w:lang w:eastAsia="en-GB"/>
              </w:rPr>
              <w:t>–</w:t>
            </w:r>
            <w:r w:rsidR="00A45775" w:rsidRPr="007946E7">
              <w:rPr>
                <w:rFonts w:ascii="Calibri" w:eastAsia="Times New Roman" w:hAnsi="Calibri" w:cs="Calibri"/>
                <w:b w:val="0"/>
                <w:color w:val="000000"/>
                <w:lang w:eastAsia="en-GB"/>
              </w:rPr>
              <w:t xml:space="preserve"> industry</w:t>
            </w:r>
          </w:p>
        </w:tc>
        <w:tc>
          <w:tcPr>
            <w:tcW w:w="1107" w:type="dxa"/>
          </w:tcPr>
          <w:p w14:paraId="6C6DD95B" w14:textId="63534B1E" w:rsidR="00A45775" w:rsidRPr="007946E7" w:rsidRDefault="00813E50"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1,503.50</w:t>
            </w:r>
          </w:p>
        </w:tc>
        <w:tc>
          <w:tcPr>
            <w:tcW w:w="2153" w:type="dxa"/>
            <w:hideMark/>
          </w:tcPr>
          <w:p w14:paraId="0A509554" w14:textId="2F4C5E74" w:rsidR="00657C67" w:rsidRPr="007946E7" w:rsidRDefault="0094021E"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roofErr w:type="gramStart"/>
            <w:r>
              <w:rPr>
                <w:rFonts w:ascii="Calibri" w:eastAsia="Times New Roman" w:hAnsi="Calibri" w:cs="Calibri"/>
                <w:color w:val="000000"/>
                <w:lang w:eastAsia="en-GB"/>
              </w:rPr>
              <w:t>Million</w:t>
            </w:r>
            <w:r w:rsidR="00D72BE0">
              <w:rPr>
                <w:rFonts w:ascii="Calibri" w:eastAsia="Times New Roman" w:hAnsi="Calibri" w:cs="Calibri"/>
                <w:color w:val="000000"/>
                <w:lang w:eastAsia="en-GB"/>
              </w:rPr>
              <w:t xml:space="preserve"> euro</w:t>
            </w:r>
            <w:proofErr w:type="gramEnd"/>
            <w:r>
              <w:rPr>
                <w:rFonts w:ascii="Calibri" w:eastAsia="Times New Roman" w:hAnsi="Calibri" w:cs="Calibri"/>
                <w:color w:val="000000"/>
                <w:lang w:eastAsia="en-GB"/>
              </w:rPr>
              <w:t>, Current prices</w:t>
            </w:r>
          </w:p>
        </w:tc>
        <w:tc>
          <w:tcPr>
            <w:tcW w:w="3322" w:type="dxa"/>
            <w:hideMark/>
          </w:tcPr>
          <w:p w14:paraId="507D7734" w14:textId="06A627AA" w:rsidR="00A45775" w:rsidRPr="007946E7" w:rsidRDefault="0094021E" w:rsidP="00A4577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 xml:space="preserve">EUROSTAT data NACEs </w:t>
            </w:r>
            <w:r w:rsidRPr="002C1101">
              <w:rPr>
                <w:rFonts w:ascii="Calibri" w:eastAsia="Times New Roman" w:hAnsi="Calibri" w:cs="Calibri"/>
                <w:color w:val="000000"/>
                <w:lang w:eastAsia="en-GB"/>
              </w:rPr>
              <w:t>(B</w:t>
            </w:r>
            <w:r w:rsidRPr="002C1101">
              <w:rPr>
                <w:rFonts w:ascii="Calibri" w:eastAsia="Times New Roman" w:hAnsi="Calibri" w:cs="Calibri"/>
                <w:color w:val="000000"/>
                <w:lang w:eastAsia="en-GB"/>
              </w:rPr>
              <w:noBreakHyphen/>
              <w:t>F</w:t>
            </w:r>
            <w:r>
              <w:rPr>
                <w:rFonts w:ascii="Times New Roman" w:eastAsia="Times New Roman" w:hAnsi="Times New Roman" w:cs="Times New Roman"/>
                <w:color w:val="000000"/>
                <w:lang w:eastAsia="en-GB"/>
              </w:rPr>
              <w:t>)</w:t>
            </w:r>
            <w:r w:rsidR="003126ED">
              <w:t xml:space="preserve"> </w:t>
            </w:r>
          </w:p>
        </w:tc>
      </w:tr>
      <w:tr w:rsidR="00657C67" w:rsidRPr="007946E7" w14:paraId="203970B6" w14:textId="77777777" w:rsidTr="00014611">
        <w:trPr>
          <w:trHeight w:val="863"/>
        </w:trPr>
        <w:tc>
          <w:tcPr>
            <w:cnfStyle w:val="001000000000" w:firstRow="0" w:lastRow="0" w:firstColumn="1" w:lastColumn="0" w:oddVBand="0" w:evenVBand="0" w:oddHBand="0" w:evenHBand="0" w:firstRowFirstColumn="0" w:firstRowLastColumn="0" w:lastRowFirstColumn="0" w:lastRowLastColumn="0"/>
            <w:tcW w:w="2660" w:type="dxa"/>
            <w:hideMark/>
          </w:tcPr>
          <w:p w14:paraId="20A2807C" w14:textId="01FAD439" w:rsidR="00657C67" w:rsidRPr="007946E7" w:rsidRDefault="00657C67" w:rsidP="00657C67">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 xml:space="preserve">Gross value added </w:t>
            </w:r>
            <w:r w:rsidR="00221E57">
              <w:rPr>
                <w:rFonts w:ascii="Calibri" w:eastAsia="Times New Roman" w:hAnsi="Calibri" w:cs="Calibri"/>
                <w:b w:val="0"/>
                <w:color w:val="000000"/>
                <w:lang w:eastAsia="en-GB"/>
              </w:rPr>
              <w:t>–</w:t>
            </w:r>
            <w:r w:rsidRPr="007946E7">
              <w:rPr>
                <w:rFonts w:ascii="Calibri" w:eastAsia="Times New Roman" w:hAnsi="Calibri" w:cs="Calibri"/>
                <w:b w:val="0"/>
                <w:color w:val="000000"/>
                <w:lang w:eastAsia="en-GB"/>
              </w:rPr>
              <w:t xml:space="preserve"> services</w:t>
            </w:r>
          </w:p>
        </w:tc>
        <w:tc>
          <w:tcPr>
            <w:tcW w:w="1107" w:type="dxa"/>
          </w:tcPr>
          <w:p w14:paraId="62F61F04" w14:textId="47467FC3" w:rsidR="00813E50" w:rsidRPr="00D72BE0" w:rsidRDefault="00813E50" w:rsidP="00813E5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lang w:eastAsia="en-GB"/>
              </w:rPr>
            </w:pPr>
            <w:r w:rsidRPr="00D72BE0">
              <w:rPr>
                <w:rFonts w:ascii="Calibri" w:eastAsia="Times New Roman" w:hAnsi="Calibri" w:cs="Calibri"/>
                <w:bCs/>
                <w:color w:val="000000"/>
                <w:lang w:eastAsia="en-GB"/>
              </w:rPr>
              <w:t>9</w:t>
            </w:r>
            <w:r w:rsidR="00A73CEE">
              <w:rPr>
                <w:rFonts w:ascii="Calibri" w:eastAsia="Times New Roman" w:hAnsi="Calibri" w:cs="Calibri"/>
                <w:bCs/>
                <w:color w:val="000000"/>
                <w:lang w:eastAsia="en-GB"/>
              </w:rPr>
              <w:t>,</w:t>
            </w:r>
            <w:r w:rsidRPr="00D72BE0">
              <w:rPr>
                <w:rFonts w:ascii="Calibri" w:eastAsia="Times New Roman" w:hAnsi="Calibri" w:cs="Calibri"/>
                <w:bCs/>
                <w:color w:val="000000"/>
                <w:lang w:eastAsia="en-GB"/>
              </w:rPr>
              <w:t>296.9</w:t>
            </w:r>
          </w:p>
          <w:p w14:paraId="1527D39D" w14:textId="354F3476" w:rsidR="00657C67" w:rsidRPr="007946E7" w:rsidRDefault="00657C67" w:rsidP="00657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2153" w:type="dxa"/>
            <w:hideMark/>
          </w:tcPr>
          <w:p w14:paraId="4BCB23E7" w14:textId="4523EED3" w:rsidR="00657C67" w:rsidRPr="007946E7" w:rsidRDefault="007F71D5" w:rsidP="00657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roofErr w:type="gramStart"/>
            <w:r w:rsidRPr="007F71D5">
              <w:rPr>
                <w:rFonts w:ascii="Calibri" w:eastAsia="Times New Roman" w:hAnsi="Calibri" w:cs="Calibri"/>
                <w:color w:val="000000"/>
                <w:lang w:eastAsia="en-GB"/>
              </w:rPr>
              <w:t>Million euro</w:t>
            </w:r>
            <w:proofErr w:type="gramEnd"/>
            <w:r w:rsidRPr="007F71D5">
              <w:rPr>
                <w:rFonts w:ascii="Calibri" w:eastAsia="Times New Roman" w:hAnsi="Calibri" w:cs="Calibri"/>
                <w:color w:val="000000"/>
                <w:lang w:eastAsia="en-GB"/>
              </w:rPr>
              <w:t xml:space="preserve">, </w:t>
            </w:r>
            <w:r w:rsidR="00FC007D">
              <w:rPr>
                <w:rFonts w:ascii="Calibri" w:eastAsia="Times New Roman" w:hAnsi="Calibri" w:cs="Calibri"/>
                <w:color w:val="000000"/>
                <w:lang w:eastAsia="en-GB"/>
              </w:rPr>
              <w:t>current prices</w:t>
            </w:r>
          </w:p>
        </w:tc>
        <w:tc>
          <w:tcPr>
            <w:tcW w:w="3322" w:type="dxa"/>
            <w:hideMark/>
          </w:tcPr>
          <w:p w14:paraId="4B2D343A" w14:textId="2ADC913D" w:rsidR="00657C67" w:rsidRPr="007946E7" w:rsidRDefault="00FC007D" w:rsidP="00657C6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 xml:space="preserve">EUROSTAT data (NACEs </w:t>
            </w:r>
            <w:r w:rsidRPr="002C1101">
              <w:rPr>
                <w:rFonts w:eastAsia="Times New Roman" w:cstheme="minorHAnsi"/>
                <w:color w:val="000000"/>
                <w:lang w:eastAsia="en-GB"/>
              </w:rPr>
              <w:t>G</w:t>
            </w:r>
            <w:r w:rsidRPr="002C1101">
              <w:rPr>
                <w:rFonts w:eastAsia="Times New Roman" w:cstheme="minorHAnsi"/>
                <w:color w:val="000000"/>
                <w:lang w:eastAsia="en-GB"/>
              </w:rPr>
              <w:noBreakHyphen/>
              <w:t>U)</w:t>
            </w:r>
            <w:r w:rsidR="003126ED">
              <w:t xml:space="preserve"> </w:t>
            </w:r>
          </w:p>
        </w:tc>
      </w:tr>
      <w:tr w:rsidR="00A45775" w:rsidRPr="00A45775" w14:paraId="34EF048B" w14:textId="77777777" w:rsidTr="00334BA0">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2660" w:type="dxa"/>
            <w:hideMark/>
          </w:tcPr>
          <w:p w14:paraId="56A5AF36" w14:textId="77777777" w:rsidR="00A45775" w:rsidRPr="007946E7" w:rsidRDefault="00CF1827"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D</w:t>
            </w:r>
            <w:r w:rsidR="00A45775" w:rsidRPr="007946E7">
              <w:rPr>
                <w:rFonts w:ascii="Calibri" w:eastAsia="Times New Roman" w:hAnsi="Calibri" w:cs="Calibri"/>
                <w:b w:val="0"/>
                <w:color w:val="000000"/>
                <w:lang w:eastAsia="en-GB"/>
              </w:rPr>
              <w:t>isposable income for households</w:t>
            </w:r>
          </w:p>
        </w:tc>
        <w:tc>
          <w:tcPr>
            <w:tcW w:w="1107" w:type="dxa"/>
          </w:tcPr>
          <w:p w14:paraId="70FAC537" w14:textId="1B8424ED" w:rsidR="00A45775" w:rsidRDefault="000F50BD" w:rsidP="003C5E8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6,303</w:t>
            </w:r>
          </w:p>
          <w:p w14:paraId="6BE7D4BC" w14:textId="77777777" w:rsidR="000F50BD" w:rsidRDefault="000F50BD" w:rsidP="003C5E8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
          <w:p w14:paraId="2D3F9431" w14:textId="5F6CCC55" w:rsidR="000F50BD" w:rsidRPr="00A45775" w:rsidRDefault="000F50BD" w:rsidP="003C5E8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
        </w:tc>
        <w:tc>
          <w:tcPr>
            <w:tcW w:w="2153" w:type="dxa"/>
            <w:hideMark/>
          </w:tcPr>
          <w:p w14:paraId="7B24F304" w14:textId="77777777" w:rsidR="00A45775" w:rsidRPr="00A45775" w:rsidRDefault="00A45775"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A45775">
              <w:rPr>
                <w:rFonts w:ascii="Calibri" w:eastAsia="Times New Roman" w:hAnsi="Calibri" w:cs="Calibri"/>
                <w:color w:val="000000"/>
                <w:lang w:eastAsia="en-GB"/>
              </w:rPr>
              <w:t>Million euro</w:t>
            </w:r>
            <w:r w:rsidR="00442846">
              <w:rPr>
                <w:rFonts w:ascii="Calibri" w:eastAsia="Times New Roman" w:hAnsi="Calibri" w:cs="Calibri"/>
                <w:color w:val="000000"/>
                <w:lang w:eastAsia="en-GB"/>
              </w:rPr>
              <w:t xml:space="preserve"> </w:t>
            </w:r>
          </w:p>
        </w:tc>
        <w:tc>
          <w:tcPr>
            <w:tcW w:w="3322" w:type="dxa"/>
            <w:hideMark/>
          </w:tcPr>
          <w:p w14:paraId="538BCAC7" w14:textId="10A44794" w:rsidR="00A45775" w:rsidRPr="00A45775" w:rsidRDefault="005912B7" w:rsidP="00A4577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National Statistics Office</w:t>
            </w:r>
            <w:r w:rsidR="00442846">
              <w:rPr>
                <w:rFonts w:ascii="Calibri" w:eastAsia="Times New Roman" w:hAnsi="Calibri" w:cs="Calibri"/>
                <w:color w:val="000000"/>
                <w:lang w:eastAsia="en-GB"/>
              </w:rPr>
              <w:t>, 2017</w:t>
            </w:r>
            <w:r w:rsidR="004210C8" w:rsidRPr="004210C8">
              <w:rPr>
                <w:rFonts w:ascii="Times New Roman" w:eastAsia="Times New Roman" w:hAnsi="Times New Roman" w:cs="Times New Roman"/>
                <w:color w:val="000000"/>
                <w:lang w:eastAsia="en-GB"/>
              </w:rPr>
              <w:noBreakHyphen/>
            </w:r>
            <w:r w:rsidR="004210C8">
              <w:rPr>
                <w:rFonts w:ascii="Times New Roman" w:eastAsia="Times New Roman" w:hAnsi="Times New Roman" w:cs="Times New Roman"/>
                <w:color w:val="000000"/>
                <w:lang w:eastAsia="en-GB"/>
              </w:rPr>
              <w:t>2018</w:t>
            </w:r>
            <w:r w:rsidR="00442846">
              <w:rPr>
                <w:rFonts w:ascii="Calibri" w:eastAsia="Times New Roman" w:hAnsi="Calibri" w:cs="Calibri"/>
                <w:color w:val="000000"/>
                <w:lang w:eastAsia="en-GB"/>
              </w:rPr>
              <w:t xml:space="preserve"> Statistics on Income and Living Conditions report</w:t>
            </w:r>
            <w:r w:rsidR="004210C8">
              <w:rPr>
                <w:rFonts w:ascii="Calibri" w:eastAsia="Times New Roman" w:hAnsi="Calibri" w:cs="Calibri"/>
                <w:color w:val="000000"/>
                <w:lang w:eastAsia="en-GB"/>
              </w:rPr>
              <w:t xml:space="preserve">. </w:t>
            </w:r>
            <w:r w:rsidR="004210C8" w:rsidRPr="004210C8">
              <w:rPr>
                <w:rFonts w:ascii="Calibri" w:eastAsia="Times New Roman" w:hAnsi="Calibri" w:cs="Calibri"/>
                <w:color w:val="000000"/>
                <w:lang w:eastAsia="en-GB"/>
              </w:rPr>
              <w:t>EU-SILC 2017-2018</w:t>
            </w:r>
          </w:p>
        </w:tc>
      </w:tr>
      <w:tr w:rsidR="00A45775" w:rsidRPr="00A45775" w14:paraId="77078E74" w14:textId="77777777" w:rsidTr="00014611">
        <w:trPr>
          <w:trHeight w:val="997"/>
        </w:trPr>
        <w:tc>
          <w:tcPr>
            <w:cnfStyle w:val="001000000000" w:firstRow="0" w:lastRow="0" w:firstColumn="1" w:lastColumn="0" w:oddVBand="0" w:evenVBand="0" w:oddHBand="0" w:evenHBand="0" w:firstRowFirstColumn="0" w:firstRowLastColumn="0" w:lastRowFirstColumn="0" w:lastRowLastColumn="0"/>
            <w:tcW w:w="2660" w:type="dxa"/>
            <w:hideMark/>
          </w:tcPr>
          <w:p w14:paraId="508E1094" w14:textId="77777777" w:rsidR="00A45775" w:rsidRPr="007946E7" w:rsidRDefault="00CF1827"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G</w:t>
            </w:r>
            <w:r w:rsidR="00A45775" w:rsidRPr="007946E7">
              <w:rPr>
                <w:rFonts w:ascii="Calibri" w:eastAsia="Times New Roman" w:hAnsi="Calibri" w:cs="Calibri"/>
                <w:b w:val="0"/>
                <w:color w:val="000000"/>
                <w:lang w:eastAsia="en-GB"/>
              </w:rPr>
              <w:t>ross domestic product (GDP)</w:t>
            </w:r>
          </w:p>
        </w:tc>
        <w:tc>
          <w:tcPr>
            <w:tcW w:w="1107" w:type="dxa"/>
          </w:tcPr>
          <w:p w14:paraId="751ECD90" w14:textId="737C5C66" w:rsidR="00A45775" w:rsidRPr="00A45775" w:rsidRDefault="00F30F1F"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11,6</w:t>
            </w:r>
            <w:r w:rsidR="004B47D4">
              <w:rPr>
                <w:rFonts w:ascii="Calibri" w:eastAsia="Times New Roman" w:hAnsi="Calibri" w:cs="Calibri"/>
                <w:color w:val="000000"/>
                <w:lang w:eastAsia="en-GB"/>
              </w:rPr>
              <w:t>4</w:t>
            </w:r>
            <w:r>
              <w:rPr>
                <w:rFonts w:ascii="Calibri" w:eastAsia="Times New Roman" w:hAnsi="Calibri" w:cs="Calibri"/>
                <w:color w:val="000000"/>
                <w:lang w:eastAsia="en-GB"/>
              </w:rPr>
              <w:t>2.</w:t>
            </w:r>
            <w:r w:rsidR="004B47D4">
              <w:rPr>
                <w:rFonts w:ascii="Calibri" w:eastAsia="Times New Roman" w:hAnsi="Calibri" w:cs="Calibri"/>
                <w:color w:val="000000"/>
                <w:lang w:eastAsia="en-GB"/>
              </w:rPr>
              <w:t>2</w:t>
            </w:r>
            <w:r>
              <w:rPr>
                <w:rFonts w:ascii="Calibri" w:eastAsia="Times New Roman" w:hAnsi="Calibri" w:cs="Calibri"/>
                <w:color w:val="000000"/>
                <w:lang w:eastAsia="en-GB"/>
              </w:rPr>
              <w:t>0</w:t>
            </w:r>
          </w:p>
        </w:tc>
        <w:tc>
          <w:tcPr>
            <w:tcW w:w="2153" w:type="dxa"/>
            <w:hideMark/>
          </w:tcPr>
          <w:p w14:paraId="39C0F850" w14:textId="7A945355" w:rsidR="00A45775" w:rsidRPr="00A45775" w:rsidRDefault="00A45775"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roofErr w:type="gramStart"/>
            <w:r w:rsidRPr="00A45775">
              <w:rPr>
                <w:rFonts w:ascii="Calibri" w:eastAsia="Times New Roman" w:hAnsi="Calibri" w:cs="Calibri"/>
                <w:color w:val="000000"/>
                <w:lang w:eastAsia="en-GB"/>
              </w:rPr>
              <w:t>Million euro</w:t>
            </w:r>
            <w:proofErr w:type="gramEnd"/>
            <w:r w:rsidRPr="00A45775">
              <w:rPr>
                <w:rFonts w:ascii="Calibri" w:eastAsia="Times New Roman" w:hAnsi="Calibri" w:cs="Calibri"/>
                <w:color w:val="000000"/>
                <w:lang w:eastAsia="en-GB"/>
              </w:rPr>
              <w:t>, chain-linked volumes</w:t>
            </w:r>
            <w:r w:rsidR="00334BA0">
              <w:rPr>
                <w:rFonts w:ascii="Calibri" w:eastAsia="Times New Roman" w:hAnsi="Calibri" w:cs="Calibri"/>
                <w:color w:val="000000"/>
                <w:lang w:eastAsia="en-GB"/>
              </w:rPr>
              <w:t xml:space="preserve"> (20</w:t>
            </w:r>
            <w:r w:rsidR="00F30F1F">
              <w:rPr>
                <w:rFonts w:ascii="Calibri" w:eastAsia="Times New Roman" w:hAnsi="Calibri" w:cs="Calibri"/>
                <w:color w:val="000000"/>
                <w:lang w:eastAsia="en-GB"/>
              </w:rPr>
              <w:t>1</w:t>
            </w:r>
            <w:r w:rsidR="00334BA0">
              <w:rPr>
                <w:rFonts w:ascii="Calibri" w:eastAsia="Times New Roman" w:hAnsi="Calibri" w:cs="Calibri"/>
                <w:color w:val="000000"/>
                <w:lang w:eastAsia="en-GB"/>
              </w:rPr>
              <w:t>5)</w:t>
            </w:r>
          </w:p>
        </w:tc>
        <w:tc>
          <w:tcPr>
            <w:tcW w:w="3322" w:type="dxa"/>
            <w:hideMark/>
          </w:tcPr>
          <w:p w14:paraId="3B02D73A" w14:textId="77777777" w:rsidR="00A45775" w:rsidRPr="00A45775" w:rsidRDefault="00A45775" w:rsidP="00A4577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A45775">
              <w:rPr>
                <w:rFonts w:ascii="Calibri" w:eastAsia="Times New Roman" w:hAnsi="Calibri" w:cs="Calibri"/>
                <w:color w:val="000000"/>
                <w:lang w:eastAsia="en-GB"/>
              </w:rPr>
              <w:t> </w:t>
            </w:r>
            <w:r w:rsidR="00B66057">
              <w:rPr>
                <w:rFonts w:ascii="Calibri" w:eastAsia="Times New Roman" w:hAnsi="Calibri" w:cs="Calibri"/>
                <w:color w:val="000000"/>
                <w:lang w:eastAsia="en-GB"/>
              </w:rPr>
              <w:t>Eurostat</w:t>
            </w:r>
            <w:r w:rsidR="004D747A">
              <w:rPr>
                <w:rFonts w:ascii="Calibri" w:eastAsia="Times New Roman" w:hAnsi="Calibri" w:cs="Calibri"/>
                <w:color w:val="000000"/>
                <w:lang w:eastAsia="en-GB"/>
              </w:rPr>
              <w:t>, table nama_10_gdp</w:t>
            </w:r>
          </w:p>
        </w:tc>
      </w:tr>
      <w:tr w:rsidR="00A45775" w:rsidRPr="00A45775" w14:paraId="073375F7" w14:textId="77777777" w:rsidTr="00334BA0">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2660" w:type="dxa"/>
            <w:hideMark/>
          </w:tcPr>
          <w:p w14:paraId="77F0F5CB" w14:textId="77777777" w:rsidR="00A45775" w:rsidRPr="007946E7" w:rsidRDefault="00CF1827"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E</w:t>
            </w:r>
            <w:r w:rsidR="00A45775" w:rsidRPr="007946E7">
              <w:rPr>
                <w:rFonts w:ascii="Calibri" w:eastAsia="Times New Roman" w:hAnsi="Calibri" w:cs="Calibri"/>
                <w:b w:val="0"/>
                <w:color w:val="000000"/>
                <w:lang w:eastAsia="en-GB"/>
              </w:rPr>
              <w:t>lectricity generation from thermal power generation</w:t>
            </w:r>
          </w:p>
        </w:tc>
        <w:tc>
          <w:tcPr>
            <w:tcW w:w="1107" w:type="dxa"/>
          </w:tcPr>
          <w:p w14:paraId="72125E1C" w14:textId="6218D710" w:rsidR="00A45775" w:rsidRPr="00A45775" w:rsidRDefault="0017244E"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151.6</w:t>
            </w:r>
          </w:p>
        </w:tc>
        <w:tc>
          <w:tcPr>
            <w:tcW w:w="2153" w:type="dxa"/>
            <w:hideMark/>
          </w:tcPr>
          <w:p w14:paraId="45B151A1" w14:textId="3B6A97A6" w:rsidR="00A45775" w:rsidRPr="00A45775" w:rsidRDefault="00A61001"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roofErr w:type="spellStart"/>
            <w:r w:rsidRPr="00A45775">
              <w:rPr>
                <w:rFonts w:ascii="Calibri" w:eastAsia="Times New Roman" w:hAnsi="Calibri" w:cs="Calibri"/>
                <w:color w:val="000000"/>
                <w:lang w:eastAsia="en-GB"/>
              </w:rPr>
              <w:t>K</w:t>
            </w:r>
            <w:r w:rsidR="00A45775" w:rsidRPr="00A45775">
              <w:rPr>
                <w:rFonts w:ascii="Calibri" w:eastAsia="Times New Roman" w:hAnsi="Calibri" w:cs="Calibri"/>
                <w:color w:val="000000"/>
                <w:lang w:eastAsia="en-GB"/>
              </w:rPr>
              <w:t>toe</w:t>
            </w:r>
            <w:proofErr w:type="spellEnd"/>
          </w:p>
        </w:tc>
        <w:tc>
          <w:tcPr>
            <w:tcW w:w="3322" w:type="dxa"/>
            <w:hideMark/>
          </w:tcPr>
          <w:p w14:paraId="3E957843" w14:textId="77777777" w:rsidR="00A45775" w:rsidRPr="00A45775" w:rsidRDefault="00EC789C" w:rsidP="00A4577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The Energy and Water Agency</w:t>
            </w:r>
          </w:p>
        </w:tc>
      </w:tr>
      <w:tr w:rsidR="00A45775" w:rsidRPr="00A45775" w14:paraId="7354025A" w14:textId="77777777" w:rsidTr="00334BA0">
        <w:trPr>
          <w:trHeight w:val="705"/>
        </w:trPr>
        <w:tc>
          <w:tcPr>
            <w:cnfStyle w:val="001000000000" w:firstRow="0" w:lastRow="0" w:firstColumn="1" w:lastColumn="0" w:oddVBand="0" w:evenVBand="0" w:oddHBand="0" w:evenHBand="0" w:firstRowFirstColumn="0" w:firstRowLastColumn="0" w:lastRowFirstColumn="0" w:lastRowLastColumn="0"/>
            <w:tcW w:w="2660" w:type="dxa"/>
            <w:hideMark/>
          </w:tcPr>
          <w:p w14:paraId="5C412D1E" w14:textId="77777777" w:rsidR="00A45775" w:rsidRPr="007946E7" w:rsidRDefault="00CF1827"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E</w:t>
            </w:r>
            <w:r w:rsidR="00A45775" w:rsidRPr="007946E7">
              <w:rPr>
                <w:rFonts w:ascii="Calibri" w:eastAsia="Times New Roman" w:hAnsi="Calibri" w:cs="Calibri"/>
                <w:b w:val="0"/>
                <w:color w:val="000000"/>
                <w:lang w:eastAsia="en-GB"/>
              </w:rPr>
              <w:t>lectricity generation from CHP</w:t>
            </w:r>
          </w:p>
        </w:tc>
        <w:tc>
          <w:tcPr>
            <w:tcW w:w="1107" w:type="dxa"/>
          </w:tcPr>
          <w:p w14:paraId="4B6CAE11" w14:textId="134C8A09" w:rsidR="00A45775" w:rsidRPr="00A45775" w:rsidRDefault="00A45775"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A45775">
              <w:rPr>
                <w:rFonts w:ascii="Calibri" w:eastAsia="Times New Roman" w:hAnsi="Calibri" w:cs="Calibri"/>
                <w:color w:val="000000"/>
                <w:lang w:eastAsia="en-GB"/>
              </w:rPr>
              <w:t>0.</w:t>
            </w:r>
            <w:r w:rsidR="00F67A21">
              <w:rPr>
                <w:rFonts w:ascii="Calibri" w:eastAsia="Times New Roman" w:hAnsi="Calibri" w:cs="Calibri"/>
                <w:color w:val="000000"/>
                <w:lang w:eastAsia="en-GB"/>
              </w:rPr>
              <w:t>685</w:t>
            </w:r>
          </w:p>
        </w:tc>
        <w:tc>
          <w:tcPr>
            <w:tcW w:w="2153" w:type="dxa"/>
            <w:hideMark/>
          </w:tcPr>
          <w:p w14:paraId="235E97AC" w14:textId="1132ADC4" w:rsidR="00A45775" w:rsidRPr="00A45775" w:rsidRDefault="00A61001"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roofErr w:type="spellStart"/>
            <w:r w:rsidRPr="00A45775">
              <w:rPr>
                <w:rFonts w:ascii="Calibri" w:eastAsia="Times New Roman" w:hAnsi="Calibri" w:cs="Calibri"/>
                <w:color w:val="000000"/>
                <w:lang w:eastAsia="en-GB"/>
              </w:rPr>
              <w:t>K</w:t>
            </w:r>
            <w:r w:rsidR="00A45775" w:rsidRPr="00A45775">
              <w:rPr>
                <w:rFonts w:ascii="Calibri" w:eastAsia="Times New Roman" w:hAnsi="Calibri" w:cs="Calibri"/>
                <w:color w:val="000000"/>
                <w:lang w:eastAsia="en-GB"/>
              </w:rPr>
              <w:t>toe</w:t>
            </w:r>
            <w:proofErr w:type="spellEnd"/>
          </w:p>
        </w:tc>
        <w:tc>
          <w:tcPr>
            <w:tcW w:w="3322" w:type="dxa"/>
            <w:hideMark/>
          </w:tcPr>
          <w:p w14:paraId="7EED5E9F" w14:textId="77777777" w:rsidR="00A45775" w:rsidRPr="00A45775" w:rsidRDefault="00AF3449" w:rsidP="00A4577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Regulator for Energy and Water Services</w:t>
            </w:r>
            <w:r w:rsidR="007561F3">
              <w:rPr>
                <w:rFonts w:ascii="Calibri" w:eastAsia="Times New Roman" w:hAnsi="Calibri" w:cs="Calibri"/>
                <w:color w:val="000000"/>
                <w:lang w:eastAsia="en-GB"/>
              </w:rPr>
              <w:t>, Cogeneration report</w:t>
            </w:r>
            <w:r w:rsidR="00A45775" w:rsidRPr="00A45775">
              <w:rPr>
                <w:rFonts w:ascii="Calibri" w:eastAsia="Times New Roman" w:hAnsi="Calibri" w:cs="Calibri"/>
                <w:color w:val="000000"/>
                <w:lang w:eastAsia="en-GB"/>
              </w:rPr>
              <w:t> </w:t>
            </w:r>
          </w:p>
        </w:tc>
      </w:tr>
      <w:tr w:rsidR="00A45775" w:rsidRPr="00A45775" w14:paraId="0F817988" w14:textId="77777777" w:rsidTr="00334BA0">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2660" w:type="dxa"/>
            <w:hideMark/>
          </w:tcPr>
          <w:p w14:paraId="78EB3BFD" w14:textId="77777777" w:rsidR="00A45775" w:rsidRPr="007946E7" w:rsidRDefault="00CF1827"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H</w:t>
            </w:r>
            <w:r w:rsidR="00A45775" w:rsidRPr="007946E7">
              <w:rPr>
                <w:rFonts w:ascii="Calibri" w:eastAsia="Times New Roman" w:hAnsi="Calibri" w:cs="Calibri"/>
                <w:b w:val="0"/>
                <w:color w:val="000000"/>
                <w:lang w:eastAsia="en-GB"/>
              </w:rPr>
              <w:t>eat generation from thermal power generation</w:t>
            </w:r>
          </w:p>
        </w:tc>
        <w:tc>
          <w:tcPr>
            <w:tcW w:w="1107" w:type="dxa"/>
          </w:tcPr>
          <w:p w14:paraId="73695E81" w14:textId="6BE47D30" w:rsidR="00A45775" w:rsidRPr="00A45775" w:rsidRDefault="00A45775"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A45775">
              <w:rPr>
                <w:rFonts w:ascii="Calibri" w:eastAsia="Times New Roman" w:hAnsi="Calibri" w:cs="Calibri"/>
                <w:color w:val="000000"/>
                <w:lang w:eastAsia="en-GB"/>
              </w:rPr>
              <w:t>1.</w:t>
            </w:r>
            <w:r w:rsidR="005A3B6C">
              <w:rPr>
                <w:rFonts w:ascii="Calibri" w:eastAsia="Times New Roman" w:hAnsi="Calibri" w:cs="Calibri"/>
                <w:color w:val="000000"/>
                <w:lang w:eastAsia="en-GB"/>
              </w:rPr>
              <w:t>16</w:t>
            </w:r>
          </w:p>
        </w:tc>
        <w:tc>
          <w:tcPr>
            <w:tcW w:w="2153" w:type="dxa"/>
            <w:hideMark/>
          </w:tcPr>
          <w:p w14:paraId="2C5B75F9" w14:textId="358A3BCB" w:rsidR="00A45775" w:rsidRPr="00A45775" w:rsidRDefault="00A61001"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roofErr w:type="spellStart"/>
            <w:r w:rsidRPr="00A45775">
              <w:rPr>
                <w:rFonts w:ascii="Calibri" w:eastAsia="Times New Roman" w:hAnsi="Calibri" w:cs="Calibri"/>
                <w:color w:val="000000"/>
                <w:lang w:eastAsia="en-GB"/>
              </w:rPr>
              <w:t>K</w:t>
            </w:r>
            <w:r w:rsidR="00A45775" w:rsidRPr="00A45775">
              <w:rPr>
                <w:rFonts w:ascii="Calibri" w:eastAsia="Times New Roman" w:hAnsi="Calibri" w:cs="Calibri"/>
                <w:color w:val="000000"/>
                <w:lang w:eastAsia="en-GB"/>
              </w:rPr>
              <w:t>toe</w:t>
            </w:r>
            <w:proofErr w:type="spellEnd"/>
          </w:p>
        </w:tc>
        <w:tc>
          <w:tcPr>
            <w:tcW w:w="3322" w:type="dxa"/>
            <w:hideMark/>
          </w:tcPr>
          <w:p w14:paraId="4BC995B7" w14:textId="77777777" w:rsidR="00A45775" w:rsidRPr="00A45775" w:rsidRDefault="004E7CD7" w:rsidP="00A4577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Regulator for Energy and Water Services</w:t>
            </w:r>
            <w:r w:rsidR="007561F3">
              <w:rPr>
                <w:rFonts w:ascii="Calibri" w:eastAsia="Times New Roman" w:hAnsi="Calibri" w:cs="Calibri"/>
                <w:color w:val="000000"/>
                <w:lang w:eastAsia="en-GB"/>
              </w:rPr>
              <w:t>, Cogeneration report</w:t>
            </w:r>
            <w:r w:rsidRPr="00A45775">
              <w:rPr>
                <w:rFonts w:ascii="Calibri" w:eastAsia="Times New Roman" w:hAnsi="Calibri" w:cs="Calibri"/>
                <w:color w:val="000000"/>
                <w:lang w:eastAsia="en-GB"/>
              </w:rPr>
              <w:t> </w:t>
            </w:r>
          </w:p>
        </w:tc>
      </w:tr>
      <w:tr w:rsidR="00A45775" w:rsidRPr="005912B7" w14:paraId="04D65630" w14:textId="77777777" w:rsidTr="004E7CD7">
        <w:trPr>
          <w:trHeight w:val="676"/>
        </w:trPr>
        <w:tc>
          <w:tcPr>
            <w:cnfStyle w:val="001000000000" w:firstRow="0" w:lastRow="0" w:firstColumn="1" w:lastColumn="0" w:oddVBand="0" w:evenVBand="0" w:oddHBand="0" w:evenHBand="0" w:firstRowFirstColumn="0" w:firstRowLastColumn="0" w:lastRowFirstColumn="0" w:lastRowLastColumn="0"/>
            <w:tcW w:w="2660" w:type="dxa"/>
            <w:hideMark/>
          </w:tcPr>
          <w:p w14:paraId="75200708" w14:textId="77777777" w:rsidR="00A45775" w:rsidRPr="007946E7" w:rsidRDefault="00CF1827"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H</w:t>
            </w:r>
            <w:r w:rsidR="00A45775" w:rsidRPr="007946E7">
              <w:rPr>
                <w:rFonts w:ascii="Calibri" w:eastAsia="Times New Roman" w:hAnsi="Calibri" w:cs="Calibri"/>
                <w:b w:val="0"/>
                <w:color w:val="000000"/>
                <w:lang w:eastAsia="en-GB"/>
              </w:rPr>
              <w:t>eat generation from CHP</w:t>
            </w:r>
          </w:p>
        </w:tc>
        <w:tc>
          <w:tcPr>
            <w:tcW w:w="1107" w:type="dxa"/>
          </w:tcPr>
          <w:p w14:paraId="68BAB9B0" w14:textId="43A5959C" w:rsidR="00A45775" w:rsidRPr="00A45775" w:rsidRDefault="00A45775"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A45775">
              <w:rPr>
                <w:rFonts w:ascii="Calibri" w:eastAsia="Times New Roman" w:hAnsi="Calibri" w:cs="Calibri"/>
                <w:color w:val="000000"/>
                <w:lang w:eastAsia="en-GB"/>
              </w:rPr>
              <w:t>0.</w:t>
            </w:r>
            <w:r w:rsidR="005A3B6C">
              <w:rPr>
                <w:rFonts w:ascii="Calibri" w:eastAsia="Times New Roman" w:hAnsi="Calibri" w:cs="Calibri"/>
                <w:color w:val="000000"/>
                <w:lang w:eastAsia="en-GB"/>
              </w:rPr>
              <w:t>44</w:t>
            </w:r>
          </w:p>
        </w:tc>
        <w:tc>
          <w:tcPr>
            <w:tcW w:w="2153" w:type="dxa"/>
            <w:hideMark/>
          </w:tcPr>
          <w:p w14:paraId="5E727179" w14:textId="7F569102" w:rsidR="00A45775" w:rsidRPr="00A45775" w:rsidRDefault="00A61001"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roofErr w:type="spellStart"/>
            <w:r w:rsidRPr="00A45775">
              <w:rPr>
                <w:rFonts w:ascii="Calibri" w:eastAsia="Times New Roman" w:hAnsi="Calibri" w:cs="Calibri"/>
                <w:color w:val="000000"/>
                <w:lang w:eastAsia="en-GB"/>
              </w:rPr>
              <w:t>K</w:t>
            </w:r>
            <w:r w:rsidR="00A45775" w:rsidRPr="00A45775">
              <w:rPr>
                <w:rFonts w:ascii="Calibri" w:eastAsia="Times New Roman" w:hAnsi="Calibri" w:cs="Calibri"/>
                <w:color w:val="000000"/>
                <w:lang w:eastAsia="en-GB"/>
              </w:rPr>
              <w:t>toe</w:t>
            </w:r>
            <w:proofErr w:type="spellEnd"/>
          </w:p>
        </w:tc>
        <w:tc>
          <w:tcPr>
            <w:tcW w:w="3322" w:type="dxa"/>
            <w:hideMark/>
          </w:tcPr>
          <w:p w14:paraId="6778154F" w14:textId="77777777" w:rsidR="00A45775" w:rsidRPr="00A45775" w:rsidRDefault="004E7CD7" w:rsidP="00A4577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Regulator for Energy and Water Services</w:t>
            </w:r>
            <w:r w:rsidR="007561F3">
              <w:rPr>
                <w:rFonts w:ascii="Calibri" w:eastAsia="Times New Roman" w:hAnsi="Calibri" w:cs="Calibri"/>
                <w:color w:val="000000"/>
                <w:lang w:eastAsia="en-GB"/>
              </w:rPr>
              <w:t>, Cogeneration report</w:t>
            </w:r>
            <w:r w:rsidRPr="00A45775">
              <w:rPr>
                <w:rFonts w:ascii="Calibri" w:eastAsia="Times New Roman" w:hAnsi="Calibri" w:cs="Calibri"/>
                <w:color w:val="000000"/>
                <w:lang w:eastAsia="en-GB"/>
              </w:rPr>
              <w:t> </w:t>
            </w:r>
          </w:p>
        </w:tc>
      </w:tr>
      <w:tr w:rsidR="00A45775" w:rsidRPr="00A45775" w14:paraId="3A36FDF6" w14:textId="77777777" w:rsidTr="00334BA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660" w:type="dxa"/>
            <w:hideMark/>
          </w:tcPr>
          <w:p w14:paraId="2DB524CA" w14:textId="77777777" w:rsidR="00A45775" w:rsidRPr="007946E7" w:rsidRDefault="00CF1827" w:rsidP="00A45775">
            <w:pPr>
              <w:rPr>
                <w:rFonts w:ascii="Calibri" w:eastAsia="Times New Roman" w:hAnsi="Calibri" w:cs="Calibri"/>
                <w:b w:val="0"/>
                <w:color w:val="000000"/>
                <w:lang w:eastAsia="en-GB"/>
              </w:rPr>
            </w:pPr>
            <w:bookmarkStart w:id="4" w:name="_Hlk38447478"/>
            <w:r w:rsidRPr="007946E7">
              <w:rPr>
                <w:rFonts w:ascii="Calibri" w:eastAsia="Times New Roman" w:hAnsi="Calibri" w:cs="Calibri"/>
                <w:b w:val="0"/>
                <w:color w:val="000000"/>
                <w:lang w:eastAsia="en-GB"/>
              </w:rPr>
              <w:lastRenderedPageBreak/>
              <w:t>F</w:t>
            </w:r>
            <w:r w:rsidR="00A45775" w:rsidRPr="007946E7">
              <w:rPr>
                <w:rFonts w:ascii="Calibri" w:eastAsia="Times New Roman" w:hAnsi="Calibri" w:cs="Calibri"/>
                <w:b w:val="0"/>
                <w:color w:val="000000"/>
                <w:lang w:eastAsia="en-GB"/>
              </w:rPr>
              <w:t>uel input for thermal power generation</w:t>
            </w:r>
            <w:bookmarkEnd w:id="4"/>
          </w:p>
        </w:tc>
        <w:tc>
          <w:tcPr>
            <w:tcW w:w="1107" w:type="dxa"/>
          </w:tcPr>
          <w:p w14:paraId="19511973" w14:textId="1390DF7E" w:rsidR="00A45775" w:rsidRPr="00A45775" w:rsidRDefault="00454503"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5.291</w:t>
            </w:r>
          </w:p>
        </w:tc>
        <w:tc>
          <w:tcPr>
            <w:tcW w:w="2153" w:type="dxa"/>
            <w:hideMark/>
          </w:tcPr>
          <w:p w14:paraId="574A0FDE" w14:textId="7CE45F19" w:rsidR="00A45775" w:rsidRPr="00A45775" w:rsidRDefault="00A61001" w:rsidP="00A4577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proofErr w:type="spellStart"/>
            <w:r w:rsidRPr="00A45775">
              <w:rPr>
                <w:rFonts w:ascii="Calibri" w:eastAsia="Times New Roman" w:hAnsi="Calibri" w:cs="Calibri"/>
                <w:color w:val="000000"/>
                <w:lang w:eastAsia="en-GB"/>
              </w:rPr>
              <w:t>K</w:t>
            </w:r>
            <w:r w:rsidR="00A45775" w:rsidRPr="00A45775">
              <w:rPr>
                <w:rFonts w:ascii="Calibri" w:eastAsia="Times New Roman" w:hAnsi="Calibri" w:cs="Calibri"/>
                <w:color w:val="000000"/>
                <w:lang w:eastAsia="en-GB"/>
              </w:rPr>
              <w:t>toe</w:t>
            </w:r>
            <w:proofErr w:type="spellEnd"/>
          </w:p>
        </w:tc>
        <w:tc>
          <w:tcPr>
            <w:tcW w:w="3322" w:type="dxa"/>
            <w:hideMark/>
          </w:tcPr>
          <w:p w14:paraId="4F4F8F3D" w14:textId="77777777" w:rsidR="00A45775" w:rsidRPr="005912B7" w:rsidRDefault="005B405E" w:rsidP="00A4577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color w:val="000000"/>
                <w:lang w:eastAsia="en-GB"/>
              </w:rPr>
            </w:pPr>
            <w:r>
              <w:rPr>
                <w:rFonts w:ascii="Calibri" w:eastAsia="Times New Roman" w:hAnsi="Calibri" w:cs="Calibri"/>
                <w:color w:val="000000"/>
                <w:lang w:eastAsia="en-GB"/>
              </w:rPr>
              <w:t>The Energy and Water Agency</w:t>
            </w:r>
            <w:r w:rsidR="005912B7">
              <w:rPr>
                <w:rFonts w:ascii="Calibri" w:eastAsia="Times New Roman" w:hAnsi="Calibri" w:cs="Calibri"/>
                <w:color w:val="000000"/>
                <w:lang w:eastAsia="en-GB"/>
              </w:rPr>
              <w:t xml:space="preserve"> </w:t>
            </w:r>
            <w:r w:rsidR="005912B7">
              <w:rPr>
                <w:rFonts w:ascii="Calibri" w:eastAsia="Times New Roman" w:hAnsi="Calibri" w:cs="Calibri"/>
                <w:i/>
                <w:color w:val="000000"/>
                <w:lang w:eastAsia="en-GB"/>
              </w:rPr>
              <w:t>(Does not include natural gas</w:t>
            </w:r>
            <w:r w:rsidR="007561F3">
              <w:rPr>
                <w:rFonts w:ascii="Calibri" w:eastAsia="Times New Roman" w:hAnsi="Calibri" w:cs="Calibri"/>
                <w:i/>
                <w:color w:val="000000"/>
                <w:lang w:eastAsia="en-GB"/>
              </w:rPr>
              <w:t xml:space="preserve"> input for thermal power generation</w:t>
            </w:r>
            <w:r w:rsidR="005912B7">
              <w:rPr>
                <w:rFonts w:ascii="Calibri" w:eastAsia="Times New Roman" w:hAnsi="Calibri" w:cs="Calibri"/>
                <w:i/>
                <w:color w:val="000000"/>
                <w:lang w:eastAsia="en-GB"/>
              </w:rPr>
              <w:t>)</w:t>
            </w:r>
          </w:p>
        </w:tc>
      </w:tr>
      <w:tr w:rsidR="00A45775" w:rsidRPr="00A45775" w14:paraId="565328B0" w14:textId="77777777" w:rsidTr="00334BA0">
        <w:trPr>
          <w:trHeight w:val="480"/>
        </w:trPr>
        <w:tc>
          <w:tcPr>
            <w:cnfStyle w:val="001000000000" w:firstRow="0" w:lastRow="0" w:firstColumn="1" w:lastColumn="0" w:oddVBand="0" w:evenVBand="0" w:oddHBand="0" w:evenHBand="0" w:firstRowFirstColumn="0" w:firstRowLastColumn="0" w:lastRowFirstColumn="0" w:lastRowLastColumn="0"/>
            <w:tcW w:w="2660" w:type="dxa"/>
            <w:hideMark/>
          </w:tcPr>
          <w:p w14:paraId="6AB9A84C" w14:textId="77777777" w:rsidR="00A45775" w:rsidRPr="007946E7" w:rsidRDefault="00CF1827" w:rsidP="00A45775">
            <w:pPr>
              <w:rPr>
                <w:rFonts w:ascii="Calibri" w:eastAsia="Times New Roman" w:hAnsi="Calibri" w:cs="Calibri"/>
                <w:b w:val="0"/>
                <w:color w:val="000000"/>
                <w:lang w:eastAsia="en-GB"/>
              </w:rPr>
            </w:pPr>
            <w:r w:rsidRPr="007946E7">
              <w:rPr>
                <w:rFonts w:ascii="Calibri" w:eastAsia="Times New Roman" w:hAnsi="Calibri" w:cs="Calibri"/>
                <w:b w:val="0"/>
                <w:color w:val="000000"/>
                <w:lang w:eastAsia="en-GB"/>
              </w:rPr>
              <w:t>P</w:t>
            </w:r>
            <w:r w:rsidR="00A45775" w:rsidRPr="007946E7">
              <w:rPr>
                <w:rFonts w:ascii="Calibri" w:eastAsia="Times New Roman" w:hAnsi="Calibri" w:cs="Calibri"/>
                <w:b w:val="0"/>
                <w:color w:val="000000"/>
                <w:lang w:eastAsia="en-GB"/>
              </w:rPr>
              <w:t>opulation</w:t>
            </w:r>
          </w:p>
        </w:tc>
        <w:tc>
          <w:tcPr>
            <w:tcW w:w="1107" w:type="dxa"/>
          </w:tcPr>
          <w:p w14:paraId="6F7A54F5" w14:textId="12139F3C" w:rsidR="00A45775" w:rsidRPr="00A45775" w:rsidRDefault="005A3B6C"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493,559</w:t>
            </w:r>
          </w:p>
        </w:tc>
        <w:tc>
          <w:tcPr>
            <w:tcW w:w="2153" w:type="dxa"/>
            <w:hideMark/>
          </w:tcPr>
          <w:p w14:paraId="431A23AE" w14:textId="15D07E64" w:rsidR="00A45775" w:rsidRPr="00A45775" w:rsidRDefault="00A45775" w:rsidP="00A4577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A45775">
              <w:rPr>
                <w:rFonts w:ascii="Calibri" w:eastAsia="Times New Roman" w:hAnsi="Calibri" w:cs="Calibri"/>
                <w:color w:val="000000"/>
                <w:lang w:eastAsia="en-GB"/>
              </w:rPr>
              <w:t>Persons</w:t>
            </w:r>
            <w:r w:rsidR="00BB33A8">
              <w:rPr>
                <w:rFonts w:ascii="Calibri" w:eastAsia="Times New Roman" w:hAnsi="Calibri" w:cs="Calibri"/>
                <w:color w:val="000000"/>
                <w:lang w:eastAsia="en-GB"/>
              </w:rPr>
              <w:t xml:space="preserve"> as at 1 January 201</w:t>
            </w:r>
            <w:r w:rsidR="005A3B6C">
              <w:rPr>
                <w:rFonts w:ascii="Calibri" w:eastAsia="Times New Roman" w:hAnsi="Calibri" w:cs="Calibri"/>
                <w:color w:val="000000"/>
                <w:lang w:eastAsia="en-GB"/>
              </w:rPr>
              <w:t>9</w:t>
            </w:r>
          </w:p>
        </w:tc>
        <w:tc>
          <w:tcPr>
            <w:tcW w:w="3322" w:type="dxa"/>
            <w:hideMark/>
          </w:tcPr>
          <w:p w14:paraId="5CD79A9C" w14:textId="77777777" w:rsidR="00A45775" w:rsidRPr="00A45775" w:rsidRDefault="005B405E" w:rsidP="00A4577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Pr>
                <w:rFonts w:ascii="Calibri" w:eastAsia="Times New Roman" w:hAnsi="Calibri" w:cs="Calibri"/>
                <w:color w:val="000000"/>
                <w:lang w:eastAsia="en-GB"/>
              </w:rPr>
              <w:t>Eurostat</w:t>
            </w:r>
            <w:r w:rsidR="003E303C">
              <w:rPr>
                <w:rFonts w:ascii="Calibri" w:eastAsia="Times New Roman" w:hAnsi="Calibri" w:cs="Calibri"/>
                <w:color w:val="000000"/>
                <w:lang w:eastAsia="en-GB"/>
              </w:rPr>
              <w:t>, table tps00001</w:t>
            </w:r>
          </w:p>
        </w:tc>
      </w:tr>
    </w:tbl>
    <w:p w14:paraId="4F4CD5DB" w14:textId="77777777" w:rsidR="00A45775" w:rsidRDefault="00A45775" w:rsidP="00A45775"/>
    <w:p w14:paraId="51B51E4E" w14:textId="77777777" w:rsidR="00B34D0D" w:rsidRPr="00B34D0D" w:rsidRDefault="00B34D0D" w:rsidP="00A45775">
      <w:pPr>
        <w:pStyle w:val="Heading2"/>
      </w:pPr>
      <w:bookmarkStart w:id="5" w:name="_Toc6229941"/>
      <w:r>
        <w:t>Analysis of changes in energy consumption</w:t>
      </w:r>
      <w:bookmarkEnd w:id="5"/>
    </w:p>
    <w:p w14:paraId="2C5877D2" w14:textId="77777777" w:rsidR="00CF1827" w:rsidRDefault="00CF1827" w:rsidP="00A45775">
      <w:pPr>
        <w:pStyle w:val="Default"/>
        <w:spacing w:after="160" w:line="256" w:lineRule="auto"/>
        <w:jc w:val="both"/>
        <w:rPr>
          <w:rFonts w:asciiTheme="minorHAnsi" w:hAnsiTheme="minorHAnsi" w:cstheme="minorHAnsi"/>
          <w:bCs/>
          <w:sz w:val="22"/>
          <w:szCs w:val="22"/>
        </w:rPr>
      </w:pPr>
    </w:p>
    <w:p w14:paraId="58F972D4" w14:textId="44748C74" w:rsidR="00A45775" w:rsidRDefault="00A45775" w:rsidP="00A45775">
      <w:pPr>
        <w:pStyle w:val="Default"/>
        <w:spacing w:after="160" w:line="256" w:lineRule="auto"/>
        <w:jc w:val="both"/>
        <w:rPr>
          <w:rFonts w:asciiTheme="minorHAnsi" w:hAnsiTheme="minorHAnsi" w:cstheme="minorHAnsi"/>
          <w:bCs/>
          <w:sz w:val="22"/>
          <w:szCs w:val="22"/>
        </w:rPr>
      </w:pPr>
      <w:r>
        <w:rPr>
          <w:rFonts w:asciiTheme="minorHAnsi" w:hAnsiTheme="minorHAnsi" w:cstheme="minorHAnsi"/>
          <w:bCs/>
          <w:sz w:val="22"/>
          <w:szCs w:val="22"/>
        </w:rPr>
        <w:t xml:space="preserve">In accordance with the requirements expressed in Annex XIV Part 1, this </w:t>
      </w:r>
      <w:r w:rsidR="003B4156">
        <w:rPr>
          <w:rFonts w:asciiTheme="minorHAnsi" w:hAnsiTheme="minorHAnsi" w:cstheme="minorHAnsi"/>
          <w:bCs/>
          <w:sz w:val="22"/>
          <w:szCs w:val="22"/>
        </w:rPr>
        <w:t>section</w:t>
      </w:r>
      <w:r>
        <w:rPr>
          <w:rFonts w:asciiTheme="minorHAnsi" w:hAnsiTheme="minorHAnsi" w:cstheme="minorHAnsi"/>
          <w:bCs/>
          <w:sz w:val="22"/>
          <w:szCs w:val="22"/>
        </w:rPr>
        <w:t xml:space="preserve"> analyses the reasons for changes in energy consumption in 201</w:t>
      </w:r>
      <w:r w:rsidR="006275B6">
        <w:rPr>
          <w:rFonts w:asciiTheme="minorHAnsi" w:hAnsiTheme="minorHAnsi" w:cstheme="minorHAnsi"/>
          <w:bCs/>
          <w:sz w:val="22"/>
          <w:szCs w:val="22"/>
        </w:rPr>
        <w:t>8</w:t>
      </w:r>
      <w:r>
        <w:rPr>
          <w:rFonts w:asciiTheme="minorHAnsi" w:hAnsiTheme="minorHAnsi" w:cstheme="minorHAnsi"/>
          <w:bCs/>
          <w:sz w:val="22"/>
          <w:szCs w:val="22"/>
        </w:rPr>
        <w:t xml:space="preserve"> in relation to 201</w:t>
      </w:r>
      <w:r w:rsidR="006275B6">
        <w:rPr>
          <w:rFonts w:asciiTheme="minorHAnsi" w:hAnsiTheme="minorHAnsi" w:cstheme="minorHAnsi"/>
          <w:bCs/>
          <w:sz w:val="22"/>
          <w:szCs w:val="22"/>
        </w:rPr>
        <w:t>7</w:t>
      </w:r>
      <w:r>
        <w:rPr>
          <w:rFonts w:asciiTheme="minorHAnsi" w:hAnsiTheme="minorHAnsi" w:cstheme="minorHAnsi"/>
          <w:bCs/>
          <w:sz w:val="22"/>
          <w:szCs w:val="22"/>
        </w:rPr>
        <w:t xml:space="preserve"> levels. The following energy consumption indicators are discussed in this note: </w:t>
      </w:r>
    </w:p>
    <w:p w14:paraId="74B70A0D" w14:textId="77777777" w:rsidR="00A45775" w:rsidRDefault="00A45775" w:rsidP="00A45775">
      <w:pPr>
        <w:pStyle w:val="Default"/>
        <w:numPr>
          <w:ilvl w:val="0"/>
          <w:numId w:val="12"/>
        </w:numPr>
        <w:spacing w:after="160" w:line="256" w:lineRule="auto"/>
        <w:contextualSpacing/>
        <w:jc w:val="both"/>
        <w:rPr>
          <w:rFonts w:asciiTheme="minorHAnsi" w:hAnsiTheme="minorHAnsi" w:cstheme="minorHAnsi"/>
          <w:bCs/>
          <w:sz w:val="22"/>
          <w:szCs w:val="22"/>
        </w:rPr>
      </w:pPr>
      <w:r>
        <w:rPr>
          <w:rFonts w:asciiTheme="minorHAnsi" w:hAnsiTheme="minorHAnsi" w:cstheme="minorHAnsi"/>
          <w:bCs/>
          <w:sz w:val="22"/>
          <w:szCs w:val="22"/>
        </w:rPr>
        <w:t>Primary energy consumption;</w:t>
      </w:r>
    </w:p>
    <w:p w14:paraId="2D09892A" w14:textId="77777777" w:rsidR="00A45775" w:rsidRDefault="00A45775" w:rsidP="00A45775">
      <w:pPr>
        <w:pStyle w:val="Default"/>
        <w:numPr>
          <w:ilvl w:val="0"/>
          <w:numId w:val="12"/>
        </w:numPr>
        <w:spacing w:after="160" w:line="256" w:lineRule="auto"/>
        <w:ind w:left="714" w:hanging="357"/>
        <w:contextualSpacing/>
        <w:jc w:val="both"/>
        <w:rPr>
          <w:rFonts w:asciiTheme="minorHAnsi" w:hAnsiTheme="minorHAnsi" w:cstheme="minorHAnsi"/>
          <w:bCs/>
          <w:sz w:val="22"/>
          <w:szCs w:val="22"/>
        </w:rPr>
      </w:pPr>
      <w:r>
        <w:rPr>
          <w:rFonts w:asciiTheme="minorHAnsi" w:hAnsiTheme="minorHAnsi" w:cstheme="minorHAnsi"/>
          <w:bCs/>
          <w:sz w:val="22"/>
          <w:szCs w:val="22"/>
        </w:rPr>
        <w:t>Total final energy consumption;</w:t>
      </w:r>
    </w:p>
    <w:p w14:paraId="61DFCE39" w14:textId="77777777" w:rsidR="00A45775" w:rsidRDefault="00A45775" w:rsidP="00A45775">
      <w:pPr>
        <w:pStyle w:val="Default"/>
        <w:numPr>
          <w:ilvl w:val="0"/>
          <w:numId w:val="12"/>
        </w:numPr>
        <w:spacing w:after="160" w:line="256" w:lineRule="auto"/>
        <w:ind w:left="714" w:hanging="357"/>
        <w:contextualSpacing/>
        <w:jc w:val="both"/>
        <w:rPr>
          <w:rFonts w:asciiTheme="minorHAnsi" w:hAnsiTheme="minorHAnsi" w:cstheme="minorHAnsi"/>
          <w:bCs/>
          <w:sz w:val="22"/>
          <w:szCs w:val="22"/>
        </w:rPr>
      </w:pPr>
      <w:r>
        <w:rPr>
          <w:rFonts w:asciiTheme="minorHAnsi" w:hAnsiTheme="minorHAnsi" w:cstheme="minorHAnsi"/>
          <w:bCs/>
          <w:sz w:val="22"/>
          <w:szCs w:val="22"/>
        </w:rPr>
        <w:t>Final energy consumption by transport sector;</w:t>
      </w:r>
    </w:p>
    <w:p w14:paraId="61F742DD" w14:textId="77777777" w:rsidR="00A45775" w:rsidRDefault="00A45775" w:rsidP="00A45775">
      <w:pPr>
        <w:pStyle w:val="Default"/>
        <w:numPr>
          <w:ilvl w:val="0"/>
          <w:numId w:val="12"/>
        </w:numPr>
        <w:spacing w:after="160" w:line="256" w:lineRule="auto"/>
        <w:ind w:left="714" w:hanging="357"/>
        <w:contextualSpacing/>
        <w:jc w:val="both"/>
        <w:rPr>
          <w:rFonts w:asciiTheme="minorHAnsi" w:hAnsiTheme="minorHAnsi" w:cstheme="minorHAnsi"/>
          <w:bCs/>
          <w:sz w:val="22"/>
          <w:szCs w:val="22"/>
        </w:rPr>
      </w:pPr>
      <w:r>
        <w:rPr>
          <w:rFonts w:asciiTheme="minorHAnsi" w:hAnsiTheme="minorHAnsi" w:cstheme="minorHAnsi"/>
          <w:bCs/>
          <w:sz w:val="22"/>
          <w:szCs w:val="22"/>
        </w:rPr>
        <w:t>Final energy consumption by industrial sector;</w:t>
      </w:r>
    </w:p>
    <w:p w14:paraId="65CCF02D" w14:textId="77777777" w:rsidR="00A45775" w:rsidRDefault="00A45775" w:rsidP="00A45775">
      <w:pPr>
        <w:pStyle w:val="Default"/>
        <w:numPr>
          <w:ilvl w:val="0"/>
          <w:numId w:val="12"/>
        </w:numPr>
        <w:spacing w:after="160" w:line="256" w:lineRule="auto"/>
        <w:ind w:left="714" w:hanging="357"/>
        <w:contextualSpacing/>
        <w:jc w:val="both"/>
        <w:rPr>
          <w:rFonts w:asciiTheme="minorHAnsi" w:hAnsiTheme="minorHAnsi" w:cstheme="minorHAnsi"/>
          <w:bCs/>
          <w:sz w:val="22"/>
          <w:szCs w:val="22"/>
        </w:rPr>
      </w:pPr>
      <w:r>
        <w:rPr>
          <w:rFonts w:asciiTheme="minorHAnsi" w:hAnsiTheme="minorHAnsi" w:cstheme="minorHAnsi"/>
          <w:bCs/>
          <w:sz w:val="22"/>
          <w:szCs w:val="22"/>
        </w:rPr>
        <w:t>Final energy consumption by services sector; and</w:t>
      </w:r>
    </w:p>
    <w:p w14:paraId="0226CAAA" w14:textId="77777777" w:rsidR="00A45775" w:rsidRDefault="00A45775" w:rsidP="00A45775">
      <w:pPr>
        <w:pStyle w:val="Default"/>
        <w:numPr>
          <w:ilvl w:val="0"/>
          <w:numId w:val="12"/>
        </w:numPr>
        <w:spacing w:after="160" w:line="256" w:lineRule="auto"/>
        <w:ind w:left="714" w:hanging="357"/>
        <w:jc w:val="both"/>
        <w:rPr>
          <w:rFonts w:asciiTheme="minorHAnsi" w:hAnsiTheme="minorHAnsi" w:cstheme="minorHAnsi"/>
          <w:bCs/>
          <w:sz w:val="22"/>
          <w:szCs w:val="22"/>
        </w:rPr>
      </w:pPr>
      <w:r>
        <w:rPr>
          <w:rFonts w:asciiTheme="minorHAnsi" w:hAnsiTheme="minorHAnsi" w:cstheme="minorHAnsi"/>
          <w:bCs/>
          <w:sz w:val="22"/>
          <w:szCs w:val="22"/>
        </w:rPr>
        <w:t>Final energy consumption by residential sector.</w:t>
      </w:r>
    </w:p>
    <w:p w14:paraId="59BB123B" w14:textId="5851A9EC" w:rsidR="005912B7" w:rsidRDefault="00A45775" w:rsidP="00A45775">
      <w:pPr>
        <w:jc w:val="both"/>
        <w:rPr>
          <w:rFonts w:cstheme="minorHAnsi"/>
        </w:rPr>
      </w:pPr>
      <w:r>
        <w:rPr>
          <w:rFonts w:cstheme="minorHAnsi"/>
        </w:rPr>
        <w:t>In 201</w:t>
      </w:r>
      <w:r w:rsidR="00F376AD">
        <w:rPr>
          <w:rFonts w:cstheme="minorHAnsi"/>
        </w:rPr>
        <w:t>8</w:t>
      </w:r>
      <w:r>
        <w:rPr>
          <w:rFonts w:cstheme="minorHAnsi"/>
        </w:rPr>
        <w:t>, the Gross domestic product (GDP) in Malta stood at €</w:t>
      </w:r>
      <w:r w:rsidR="000C3D5F">
        <w:rPr>
          <w:rFonts w:cstheme="minorHAnsi"/>
        </w:rPr>
        <w:t>10.51</w:t>
      </w:r>
      <w:r>
        <w:rPr>
          <w:rFonts w:cstheme="minorHAnsi"/>
        </w:rPr>
        <w:t xml:space="preserve"> billion in terms of 2010 prices, up from €9.</w:t>
      </w:r>
      <w:r w:rsidR="000C3D5F">
        <w:rPr>
          <w:rFonts w:cstheme="minorHAnsi"/>
        </w:rPr>
        <w:t>80</w:t>
      </w:r>
      <w:r>
        <w:rPr>
          <w:rFonts w:cstheme="minorHAnsi"/>
        </w:rPr>
        <w:t xml:space="preserve"> billion in 201</w:t>
      </w:r>
      <w:r w:rsidR="000C3D5F">
        <w:rPr>
          <w:rFonts w:cstheme="minorHAnsi"/>
        </w:rPr>
        <w:t>7</w:t>
      </w:r>
      <w:r>
        <w:rPr>
          <w:rFonts w:cstheme="minorHAnsi"/>
        </w:rPr>
        <w:t xml:space="preserve">. The annual real GDP growth of </w:t>
      </w:r>
      <w:r w:rsidR="000C3D5F">
        <w:rPr>
          <w:rFonts w:cstheme="minorHAnsi"/>
        </w:rPr>
        <w:t>7.3</w:t>
      </w:r>
      <w:r>
        <w:rPr>
          <w:rFonts w:cstheme="minorHAnsi"/>
        </w:rPr>
        <w:t xml:space="preserve">% </w:t>
      </w:r>
      <w:r w:rsidR="00A61001">
        <w:rPr>
          <w:rFonts w:cstheme="minorHAnsi"/>
        </w:rPr>
        <w:t xml:space="preserve">was </w:t>
      </w:r>
      <w:r>
        <w:rPr>
          <w:rFonts w:cstheme="minorHAnsi"/>
        </w:rPr>
        <w:t>underpinned by a 3.</w:t>
      </w:r>
      <w:r w:rsidR="00A50896">
        <w:rPr>
          <w:rFonts w:cstheme="minorHAnsi"/>
        </w:rPr>
        <w:t>8</w:t>
      </w:r>
      <w:r>
        <w:rPr>
          <w:rFonts w:cstheme="minorHAnsi"/>
        </w:rPr>
        <w:t xml:space="preserve">% increase in total population and an improvement in employment figures which registered an annual increase of </w:t>
      </w:r>
      <w:r w:rsidR="004C4A23">
        <w:rPr>
          <w:rFonts w:cstheme="minorHAnsi"/>
        </w:rPr>
        <w:t>6.2</w:t>
      </w:r>
      <w:r w:rsidRPr="00552593">
        <w:rPr>
          <w:rFonts w:cstheme="minorHAnsi"/>
        </w:rPr>
        <w:t xml:space="preserve">%. This socio-economic </w:t>
      </w:r>
      <w:r w:rsidR="00A61001" w:rsidRPr="00552593">
        <w:rPr>
          <w:rFonts w:cstheme="minorHAnsi"/>
        </w:rPr>
        <w:t>s</w:t>
      </w:r>
      <w:r w:rsidR="00A61001">
        <w:rPr>
          <w:rFonts w:cstheme="minorHAnsi"/>
        </w:rPr>
        <w:t>ituation</w:t>
      </w:r>
      <w:r w:rsidR="00A61001" w:rsidRPr="00552593">
        <w:rPr>
          <w:rFonts w:cstheme="minorHAnsi"/>
        </w:rPr>
        <w:t xml:space="preserve"> </w:t>
      </w:r>
      <w:r w:rsidRPr="00552593">
        <w:rPr>
          <w:rFonts w:cstheme="minorHAnsi"/>
        </w:rPr>
        <w:t>was accompanied by a</w:t>
      </w:r>
      <w:r w:rsidR="00DA0FE8">
        <w:rPr>
          <w:rFonts w:cstheme="minorHAnsi"/>
        </w:rPr>
        <w:t>n</w:t>
      </w:r>
      <w:r w:rsidR="00DA0FE8" w:rsidRPr="00552593">
        <w:rPr>
          <w:rFonts w:cstheme="minorHAnsi"/>
        </w:rPr>
        <w:t xml:space="preserve"> </w:t>
      </w:r>
      <w:r w:rsidRPr="00552593">
        <w:rPr>
          <w:rFonts w:cstheme="minorHAnsi"/>
        </w:rPr>
        <w:t xml:space="preserve">increase in primary energy consumption </w:t>
      </w:r>
      <w:r w:rsidR="00A61001">
        <w:rPr>
          <w:rFonts w:cstheme="minorHAnsi"/>
        </w:rPr>
        <w:t>of</w:t>
      </w:r>
      <w:r w:rsidR="00A61001" w:rsidRPr="00552593">
        <w:rPr>
          <w:rFonts w:cstheme="minorHAnsi"/>
        </w:rPr>
        <w:t xml:space="preserve"> </w:t>
      </w:r>
      <w:r w:rsidR="00DA0FE8">
        <w:rPr>
          <w:rFonts w:cstheme="minorHAnsi"/>
        </w:rPr>
        <w:t>1.8</w:t>
      </w:r>
      <w:r w:rsidRPr="00552593">
        <w:rPr>
          <w:rFonts w:cstheme="minorHAnsi"/>
        </w:rPr>
        <w:t>% in 201</w:t>
      </w:r>
      <w:r w:rsidR="00DA0FE8">
        <w:rPr>
          <w:rFonts w:cstheme="minorHAnsi"/>
        </w:rPr>
        <w:t>8</w:t>
      </w:r>
      <w:r w:rsidRPr="00552593">
        <w:rPr>
          <w:rFonts w:cstheme="minorHAnsi"/>
        </w:rPr>
        <w:t xml:space="preserve"> </w:t>
      </w:r>
      <w:r w:rsidR="00A61001">
        <w:rPr>
          <w:rFonts w:cstheme="minorHAnsi"/>
        </w:rPr>
        <w:t xml:space="preserve">over </w:t>
      </w:r>
      <w:r w:rsidRPr="00552593">
        <w:rPr>
          <w:rFonts w:cstheme="minorHAnsi"/>
        </w:rPr>
        <w:t>201</w:t>
      </w:r>
      <w:r w:rsidR="00DA0FE8">
        <w:rPr>
          <w:rFonts w:cstheme="minorHAnsi"/>
        </w:rPr>
        <w:t>7</w:t>
      </w:r>
      <w:r w:rsidRPr="00552593">
        <w:rPr>
          <w:rFonts w:cstheme="minorHAnsi"/>
        </w:rPr>
        <w:t xml:space="preserve">, </w:t>
      </w:r>
      <w:r w:rsidR="00A61001">
        <w:rPr>
          <w:rFonts w:cstheme="minorHAnsi"/>
        </w:rPr>
        <w:t xml:space="preserve">and a </w:t>
      </w:r>
      <w:r w:rsidR="00DA0FE8">
        <w:rPr>
          <w:rFonts w:cstheme="minorHAnsi"/>
        </w:rPr>
        <w:t>6.1</w:t>
      </w:r>
      <w:r w:rsidRPr="00552593">
        <w:rPr>
          <w:rFonts w:cstheme="minorHAnsi"/>
        </w:rPr>
        <w:t xml:space="preserve">% </w:t>
      </w:r>
      <w:r w:rsidR="00A61001">
        <w:rPr>
          <w:rFonts w:cstheme="minorHAnsi"/>
        </w:rPr>
        <w:t xml:space="preserve">increase </w:t>
      </w:r>
      <w:r w:rsidRPr="00552593">
        <w:rPr>
          <w:rFonts w:cstheme="minorHAnsi"/>
        </w:rPr>
        <w:t>in total final energy consumption.</w:t>
      </w:r>
      <w:r>
        <w:rPr>
          <w:rFonts w:cstheme="minorHAnsi"/>
        </w:rPr>
        <w:t xml:space="preserve"> </w:t>
      </w:r>
    </w:p>
    <w:p w14:paraId="4FF09621" w14:textId="77777777" w:rsidR="0067516B" w:rsidRDefault="0067516B" w:rsidP="00A45775">
      <w:pPr>
        <w:jc w:val="both"/>
        <w:rPr>
          <w:rFonts w:cstheme="minorHAnsi"/>
        </w:rPr>
      </w:pPr>
    </w:p>
    <w:p w14:paraId="78B7495B" w14:textId="1FDA4C52" w:rsidR="004550F8" w:rsidRDefault="004550F8" w:rsidP="004550F8">
      <w:pPr>
        <w:pStyle w:val="Caption"/>
        <w:keepNext/>
      </w:pPr>
      <w:r>
        <w:lastRenderedPageBreak/>
        <w:t xml:space="preserve">Table </w:t>
      </w:r>
      <w:r w:rsidR="00830EAE">
        <w:rPr>
          <w:noProof/>
        </w:rPr>
        <w:fldChar w:fldCharType="begin"/>
      </w:r>
      <w:r w:rsidR="00830EAE">
        <w:rPr>
          <w:noProof/>
        </w:rPr>
        <w:instrText xml:space="preserve"> SEQ Table \* ARABIC </w:instrText>
      </w:r>
      <w:r w:rsidR="00830EAE">
        <w:rPr>
          <w:noProof/>
        </w:rPr>
        <w:fldChar w:fldCharType="separate"/>
      </w:r>
      <w:r w:rsidR="000C5602">
        <w:rPr>
          <w:noProof/>
        </w:rPr>
        <w:t>2</w:t>
      </w:r>
      <w:r w:rsidR="00830EAE">
        <w:rPr>
          <w:noProof/>
        </w:rPr>
        <w:fldChar w:fldCharType="end"/>
      </w:r>
      <w:r>
        <w:t xml:space="preserve"> -</w:t>
      </w:r>
      <w:r w:rsidRPr="004550F8">
        <w:rPr>
          <w:rFonts w:cstheme="minorHAnsi"/>
        </w:rPr>
        <w:t xml:space="preserve"> </w:t>
      </w:r>
      <w:r>
        <w:rPr>
          <w:rFonts w:cstheme="minorHAnsi"/>
        </w:rPr>
        <w:t>Changes in the</w:t>
      </w:r>
      <w:r>
        <w:rPr>
          <w:rFonts w:cstheme="minorHAnsi"/>
          <w:b/>
        </w:rPr>
        <w:t xml:space="preserve"> </w:t>
      </w:r>
      <w:r>
        <w:rPr>
          <w:rFonts w:cstheme="minorHAnsi"/>
        </w:rPr>
        <w:t>main</w:t>
      </w:r>
      <w:r>
        <w:rPr>
          <w:rFonts w:cstheme="minorHAnsi"/>
          <w:b/>
        </w:rPr>
        <w:t xml:space="preserve"> </w:t>
      </w:r>
      <w:r>
        <w:rPr>
          <w:rFonts w:cstheme="minorHAnsi"/>
        </w:rPr>
        <w:t>energy consumption indicators in 201</w:t>
      </w:r>
      <w:r w:rsidR="00DA0FE8">
        <w:rPr>
          <w:rFonts w:cstheme="minorHAnsi"/>
        </w:rPr>
        <w:t>8</w:t>
      </w:r>
      <w:r>
        <w:rPr>
          <w:rFonts w:cstheme="minorHAnsi"/>
        </w:rPr>
        <w:t xml:space="preserve"> from 201</w:t>
      </w:r>
      <w:r w:rsidR="00DA0FE8">
        <w:rPr>
          <w:rFonts w:cstheme="minorHAnsi"/>
        </w:rPr>
        <w:t>7</w:t>
      </w:r>
      <w:r>
        <w:rPr>
          <w:rFonts w:cstheme="minorHAnsi"/>
        </w:rPr>
        <w:t xml:space="preserve"> levels</w:t>
      </w:r>
      <w:r w:rsidR="000D4A2B">
        <w:rPr>
          <w:rFonts w:cstheme="minorHAnsi"/>
        </w:rPr>
        <w:t>, Sources: Eurostat</w:t>
      </w:r>
    </w:p>
    <w:tbl>
      <w:tblPr>
        <w:tblStyle w:val="PlainTable1"/>
        <w:tblW w:w="9067" w:type="dxa"/>
        <w:tblLayout w:type="fixed"/>
        <w:tblLook w:val="04A0" w:firstRow="1" w:lastRow="0" w:firstColumn="1" w:lastColumn="0" w:noHBand="0" w:noVBand="1"/>
      </w:tblPr>
      <w:tblGrid>
        <w:gridCol w:w="3902"/>
        <w:gridCol w:w="1278"/>
        <w:gridCol w:w="1278"/>
        <w:gridCol w:w="1278"/>
        <w:gridCol w:w="1331"/>
      </w:tblGrid>
      <w:tr w:rsidR="00A45775" w14:paraId="364A51A4" w14:textId="77777777" w:rsidTr="0001461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902" w:type="dxa"/>
            <w:noWrap/>
            <w:hideMark/>
          </w:tcPr>
          <w:p w14:paraId="2A8625CA" w14:textId="77777777" w:rsidR="00A45775" w:rsidRDefault="00A45775">
            <w:pPr>
              <w:jc w:val="center"/>
              <w:rPr>
                <w:rFonts w:eastAsia="Times New Roman" w:cstheme="minorHAnsi"/>
                <w:b w:val="0"/>
                <w:color w:val="000000"/>
                <w:lang w:eastAsia="en-GB"/>
              </w:rPr>
            </w:pPr>
            <w:r>
              <w:rPr>
                <w:rFonts w:eastAsia="Times New Roman" w:cstheme="minorHAnsi"/>
                <w:b w:val="0"/>
                <w:bCs w:val="0"/>
                <w:color w:val="000000"/>
                <w:lang w:eastAsia="en-GB"/>
              </w:rPr>
              <w:t>Indicators</w:t>
            </w:r>
          </w:p>
        </w:tc>
        <w:tc>
          <w:tcPr>
            <w:tcW w:w="1278" w:type="dxa"/>
            <w:noWrap/>
            <w:hideMark/>
          </w:tcPr>
          <w:p w14:paraId="7764886D" w14:textId="7FDE935C" w:rsidR="00A45775" w:rsidRDefault="00A4577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eastAsia="en-GB"/>
              </w:rPr>
            </w:pPr>
            <w:r>
              <w:rPr>
                <w:rFonts w:eastAsia="Times New Roman" w:cstheme="minorHAnsi"/>
                <w:b w:val="0"/>
                <w:bCs w:val="0"/>
                <w:color w:val="000000"/>
                <w:lang w:eastAsia="en-GB"/>
              </w:rPr>
              <w:t>201</w:t>
            </w:r>
            <w:r w:rsidR="00452616">
              <w:rPr>
                <w:rFonts w:eastAsia="Times New Roman" w:cstheme="minorHAnsi"/>
                <w:b w:val="0"/>
                <w:bCs w:val="0"/>
                <w:color w:val="000000"/>
                <w:lang w:eastAsia="en-GB"/>
              </w:rPr>
              <w:t>7</w:t>
            </w:r>
            <w:r>
              <w:rPr>
                <w:rFonts w:eastAsia="Times New Roman" w:cstheme="minorHAnsi"/>
                <w:b w:val="0"/>
                <w:bCs w:val="0"/>
                <w:color w:val="000000"/>
                <w:lang w:eastAsia="en-GB"/>
              </w:rPr>
              <w:t>Level</w:t>
            </w:r>
          </w:p>
        </w:tc>
        <w:tc>
          <w:tcPr>
            <w:tcW w:w="1278" w:type="dxa"/>
            <w:noWrap/>
            <w:hideMark/>
          </w:tcPr>
          <w:p w14:paraId="66D2B9D4" w14:textId="51B68A9D" w:rsidR="00A45775" w:rsidRDefault="00A4577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eastAsia="en-GB"/>
              </w:rPr>
            </w:pPr>
            <w:r>
              <w:rPr>
                <w:rFonts w:eastAsia="Times New Roman" w:cstheme="minorHAnsi"/>
                <w:b w:val="0"/>
                <w:bCs w:val="0"/>
                <w:color w:val="000000"/>
                <w:lang w:eastAsia="en-GB"/>
              </w:rPr>
              <w:t>201</w:t>
            </w:r>
            <w:r w:rsidR="00452616">
              <w:rPr>
                <w:rFonts w:eastAsia="Times New Roman" w:cstheme="minorHAnsi"/>
                <w:b w:val="0"/>
                <w:bCs w:val="0"/>
                <w:color w:val="000000"/>
                <w:lang w:eastAsia="en-GB"/>
              </w:rPr>
              <w:t>8</w:t>
            </w:r>
            <w:r>
              <w:rPr>
                <w:rFonts w:eastAsia="Times New Roman" w:cstheme="minorHAnsi"/>
                <w:b w:val="0"/>
                <w:bCs w:val="0"/>
                <w:color w:val="000000"/>
                <w:lang w:eastAsia="en-GB"/>
              </w:rPr>
              <w:t xml:space="preserve"> Level</w:t>
            </w:r>
          </w:p>
        </w:tc>
        <w:tc>
          <w:tcPr>
            <w:tcW w:w="1278" w:type="dxa"/>
            <w:noWrap/>
            <w:hideMark/>
          </w:tcPr>
          <w:p w14:paraId="3D2FDA26" w14:textId="483D852A" w:rsidR="00A45775" w:rsidRDefault="00A4577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eastAsia="en-GB"/>
              </w:rPr>
            </w:pPr>
            <w:r>
              <w:rPr>
                <w:rFonts w:eastAsia="Times New Roman" w:cstheme="minorHAnsi"/>
                <w:b w:val="0"/>
                <w:bCs w:val="0"/>
                <w:color w:val="000000"/>
                <w:lang w:eastAsia="en-GB"/>
              </w:rPr>
              <w:t>201</w:t>
            </w:r>
            <w:r w:rsidR="00452616">
              <w:rPr>
                <w:rFonts w:eastAsia="Times New Roman" w:cstheme="minorHAnsi"/>
                <w:b w:val="0"/>
                <w:bCs w:val="0"/>
                <w:color w:val="000000"/>
                <w:lang w:eastAsia="en-GB"/>
              </w:rPr>
              <w:t>8</w:t>
            </w:r>
            <w:r>
              <w:rPr>
                <w:rFonts w:eastAsia="Times New Roman" w:cstheme="minorHAnsi"/>
                <w:b w:val="0"/>
                <w:bCs w:val="0"/>
                <w:color w:val="000000"/>
                <w:lang w:eastAsia="en-GB"/>
              </w:rPr>
              <w:t>-201</w:t>
            </w:r>
            <w:r w:rsidR="00452616">
              <w:rPr>
                <w:rFonts w:eastAsia="Times New Roman" w:cstheme="minorHAnsi"/>
                <w:b w:val="0"/>
                <w:bCs w:val="0"/>
                <w:color w:val="000000"/>
                <w:lang w:eastAsia="en-GB"/>
              </w:rPr>
              <w:t>7</w:t>
            </w:r>
            <w:r>
              <w:rPr>
                <w:rFonts w:eastAsia="Times New Roman" w:cstheme="minorHAnsi"/>
                <w:b w:val="0"/>
                <w:bCs w:val="0"/>
                <w:color w:val="000000"/>
                <w:lang w:eastAsia="en-GB"/>
              </w:rPr>
              <w:t xml:space="preserve"> Absolute change</w:t>
            </w:r>
          </w:p>
        </w:tc>
        <w:tc>
          <w:tcPr>
            <w:tcW w:w="1331" w:type="dxa"/>
            <w:hideMark/>
          </w:tcPr>
          <w:p w14:paraId="6FD0BF5D" w14:textId="741BCA45" w:rsidR="00A45775" w:rsidRDefault="00A4577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eastAsia="en-GB"/>
              </w:rPr>
            </w:pPr>
            <w:r>
              <w:rPr>
                <w:rFonts w:eastAsia="Times New Roman" w:cstheme="minorHAnsi"/>
                <w:b w:val="0"/>
                <w:bCs w:val="0"/>
                <w:color w:val="000000"/>
                <w:lang w:eastAsia="en-GB"/>
              </w:rPr>
              <w:t>201</w:t>
            </w:r>
            <w:r w:rsidR="00452616">
              <w:rPr>
                <w:rFonts w:eastAsia="Times New Roman" w:cstheme="minorHAnsi"/>
                <w:b w:val="0"/>
                <w:bCs w:val="0"/>
                <w:color w:val="000000"/>
                <w:lang w:eastAsia="en-GB"/>
              </w:rPr>
              <w:t>8</w:t>
            </w:r>
            <w:r>
              <w:rPr>
                <w:rFonts w:eastAsia="Times New Roman" w:cstheme="minorHAnsi"/>
                <w:b w:val="0"/>
                <w:bCs w:val="0"/>
                <w:color w:val="000000"/>
                <w:lang w:eastAsia="en-GB"/>
              </w:rPr>
              <w:t>-201</w:t>
            </w:r>
            <w:r w:rsidR="00452616">
              <w:rPr>
                <w:rFonts w:eastAsia="Times New Roman" w:cstheme="minorHAnsi"/>
                <w:b w:val="0"/>
                <w:bCs w:val="0"/>
                <w:color w:val="000000"/>
                <w:lang w:eastAsia="en-GB"/>
              </w:rPr>
              <w:t>7</w:t>
            </w:r>
            <w:r>
              <w:rPr>
                <w:rFonts w:eastAsia="Times New Roman" w:cstheme="minorHAnsi"/>
                <w:b w:val="0"/>
                <w:bCs w:val="0"/>
                <w:color w:val="000000"/>
                <w:lang w:eastAsia="en-GB"/>
              </w:rPr>
              <w:t xml:space="preserve"> Percentage Change</w:t>
            </w:r>
          </w:p>
        </w:tc>
      </w:tr>
      <w:tr w:rsidR="00A45775" w14:paraId="252DBCEB" w14:textId="77777777" w:rsidTr="0001461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902" w:type="dxa"/>
            <w:noWrap/>
          </w:tcPr>
          <w:p w14:paraId="5C2AC7FC" w14:textId="77777777" w:rsidR="00A45775" w:rsidRDefault="00A45775">
            <w:pPr>
              <w:jc w:val="center"/>
              <w:rPr>
                <w:rFonts w:eastAsia="Times New Roman" w:cstheme="minorHAnsi"/>
                <w:b w:val="0"/>
                <w:bCs w:val="0"/>
                <w:color w:val="000000"/>
                <w:lang w:eastAsia="en-GB"/>
              </w:rPr>
            </w:pPr>
          </w:p>
        </w:tc>
        <w:tc>
          <w:tcPr>
            <w:tcW w:w="1278" w:type="dxa"/>
            <w:noWrap/>
            <w:hideMark/>
          </w:tcPr>
          <w:p w14:paraId="7046EC5B" w14:textId="4E831325" w:rsidR="00A45775" w:rsidRDefault="0066392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proofErr w:type="spellStart"/>
            <w:r>
              <w:rPr>
                <w:rFonts w:eastAsia="Times New Roman" w:cstheme="minorHAnsi"/>
                <w:b/>
                <w:bCs/>
                <w:color w:val="000000"/>
                <w:lang w:eastAsia="en-GB"/>
              </w:rPr>
              <w:t>K</w:t>
            </w:r>
            <w:r w:rsidR="00A45775">
              <w:rPr>
                <w:rFonts w:eastAsia="Times New Roman" w:cstheme="minorHAnsi"/>
                <w:b/>
                <w:bCs/>
                <w:color w:val="000000"/>
                <w:lang w:eastAsia="en-GB"/>
              </w:rPr>
              <w:t>toe</w:t>
            </w:r>
            <w:proofErr w:type="spellEnd"/>
          </w:p>
        </w:tc>
        <w:tc>
          <w:tcPr>
            <w:tcW w:w="1278" w:type="dxa"/>
            <w:noWrap/>
            <w:hideMark/>
          </w:tcPr>
          <w:p w14:paraId="6BE648C8" w14:textId="77777777" w:rsidR="00A45775" w:rsidRDefault="00ED3DF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proofErr w:type="spellStart"/>
            <w:r>
              <w:rPr>
                <w:rFonts w:eastAsia="Times New Roman" w:cstheme="minorHAnsi"/>
                <w:b/>
                <w:bCs/>
                <w:color w:val="000000"/>
                <w:lang w:eastAsia="en-GB"/>
              </w:rPr>
              <w:t>K</w:t>
            </w:r>
            <w:r w:rsidR="00A45775">
              <w:rPr>
                <w:rFonts w:eastAsia="Times New Roman" w:cstheme="minorHAnsi"/>
                <w:b/>
                <w:bCs/>
                <w:color w:val="000000"/>
                <w:lang w:eastAsia="en-GB"/>
              </w:rPr>
              <w:t>toe</w:t>
            </w:r>
            <w:proofErr w:type="spellEnd"/>
          </w:p>
        </w:tc>
        <w:tc>
          <w:tcPr>
            <w:tcW w:w="1278" w:type="dxa"/>
            <w:noWrap/>
            <w:hideMark/>
          </w:tcPr>
          <w:p w14:paraId="7C8305E2" w14:textId="77777777" w:rsidR="00A45775" w:rsidRDefault="00A45775">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proofErr w:type="spellStart"/>
            <w:r>
              <w:rPr>
                <w:rFonts w:eastAsia="Times New Roman" w:cstheme="minorHAnsi"/>
                <w:b/>
                <w:bCs/>
                <w:color w:val="000000"/>
                <w:lang w:eastAsia="en-GB"/>
              </w:rPr>
              <w:t>ktoe</w:t>
            </w:r>
            <w:proofErr w:type="spellEnd"/>
          </w:p>
        </w:tc>
        <w:tc>
          <w:tcPr>
            <w:tcW w:w="1331" w:type="dxa"/>
            <w:hideMark/>
          </w:tcPr>
          <w:p w14:paraId="4985983A" w14:textId="77777777" w:rsidR="00A45775" w:rsidRDefault="00A45775">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r>
              <w:rPr>
                <w:rFonts w:eastAsia="Times New Roman" w:cstheme="minorHAnsi"/>
                <w:b/>
                <w:bCs/>
                <w:color w:val="000000"/>
                <w:lang w:eastAsia="en-GB"/>
              </w:rPr>
              <w:t>%</w:t>
            </w:r>
          </w:p>
        </w:tc>
      </w:tr>
      <w:tr w:rsidR="00A45775" w14:paraId="743954CA" w14:textId="77777777" w:rsidTr="00014611">
        <w:trPr>
          <w:trHeight w:val="283"/>
        </w:trPr>
        <w:tc>
          <w:tcPr>
            <w:cnfStyle w:val="001000000000" w:firstRow="0" w:lastRow="0" w:firstColumn="1" w:lastColumn="0" w:oddVBand="0" w:evenVBand="0" w:oddHBand="0" w:evenHBand="0" w:firstRowFirstColumn="0" w:firstRowLastColumn="0" w:lastRowFirstColumn="0" w:lastRowLastColumn="0"/>
            <w:tcW w:w="3902" w:type="dxa"/>
            <w:noWrap/>
            <w:hideMark/>
          </w:tcPr>
          <w:p w14:paraId="66B540A9" w14:textId="77777777" w:rsidR="00A45775" w:rsidRDefault="00A45775">
            <w:pPr>
              <w:rPr>
                <w:rFonts w:eastAsia="Times New Roman" w:cstheme="minorHAnsi"/>
                <w:b w:val="0"/>
                <w:bCs w:val="0"/>
                <w:color w:val="000000"/>
                <w:lang w:eastAsia="en-GB"/>
              </w:rPr>
            </w:pPr>
            <w:r>
              <w:rPr>
                <w:rFonts w:ascii="Calibri" w:hAnsi="Calibri" w:cs="Calibri"/>
              </w:rPr>
              <w:t>Primary energy consumption</w:t>
            </w:r>
          </w:p>
        </w:tc>
        <w:tc>
          <w:tcPr>
            <w:tcW w:w="1278" w:type="dxa"/>
            <w:noWrap/>
            <w:hideMark/>
          </w:tcPr>
          <w:p w14:paraId="527E8390" w14:textId="7A3CD841" w:rsidR="00A45775" w:rsidRDefault="0045261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Pr>
                <w:rFonts w:ascii="Calibri" w:hAnsi="Calibri" w:cs="Calibri"/>
              </w:rPr>
              <w:t>807</w:t>
            </w:r>
          </w:p>
        </w:tc>
        <w:tc>
          <w:tcPr>
            <w:tcW w:w="1278" w:type="dxa"/>
            <w:noWrap/>
            <w:hideMark/>
          </w:tcPr>
          <w:p w14:paraId="5A8A01EE" w14:textId="353B4915" w:rsidR="00A45775" w:rsidRDefault="00A45775">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Pr>
                <w:rFonts w:ascii="Calibri" w:hAnsi="Calibri" w:cs="Calibri"/>
              </w:rPr>
              <w:t>82</w:t>
            </w:r>
            <w:r w:rsidR="00244526">
              <w:rPr>
                <w:rFonts w:ascii="Calibri" w:hAnsi="Calibri" w:cs="Calibri"/>
              </w:rPr>
              <w:t>3</w:t>
            </w:r>
          </w:p>
        </w:tc>
        <w:tc>
          <w:tcPr>
            <w:tcW w:w="1278" w:type="dxa"/>
            <w:noWrap/>
            <w:hideMark/>
          </w:tcPr>
          <w:p w14:paraId="7B78E066" w14:textId="68E7FEC3" w:rsidR="00A45775" w:rsidRDefault="0045261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lang w:eastAsia="en-GB"/>
              </w:rPr>
            </w:pPr>
            <w:r>
              <w:rPr>
                <w:rFonts w:ascii="Calibri" w:hAnsi="Calibri" w:cs="Calibri"/>
              </w:rPr>
              <w:t>15</w:t>
            </w:r>
          </w:p>
        </w:tc>
        <w:tc>
          <w:tcPr>
            <w:tcW w:w="1331" w:type="dxa"/>
            <w:hideMark/>
          </w:tcPr>
          <w:p w14:paraId="67459A32" w14:textId="1A61CE7D" w:rsidR="00A45775" w:rsidRDefault="004526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1.8</w:t>
            </w:r>
            <w:r w:rsidR="00A45775">
              <w:rPr>
                <w:rFonts w:ascii="Calibri" w:hAnsi="Calibri" w:cs="Calibri"/>
              </w:rPr>
              <w:t>%</w:t>
            </w:r>
          </w:p>
        </w:tc>
      </w:tr>
      <w:tr w:rsidR="00A45775" w14:paraId="18FED753" w14:textId="77777777" w:rsidTr="0001461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902" w:type="dxa"/>
            <w:noWrap/>
            <w:hideMark/>
          </w:tcPr>
          <w:p w14:paraId="5676C769" w14:textId="77777777" w:rsidR="00A45775" w:rsidRDefault="00A45775">
            <w:pPr>
              <w:rPr>
                <w:rFonts w:eastAsia="Times New Roman" w:cstheme="minorHAnsi"/>
                <w:color w:val="000000"/>
                <w:lang w:eastAsia="en-GB"/>
              </w:rPr>
            </w:pPr>
            <w:r>
              <w:rPr>
                <w:rFonts w:ascii="Calibri" w:hAnsi="Calibri" w:cs="Calibri"/>
              </w:rPr>
              <w:t>Total final energy consumption</w:t>
            </w:r>
          </w:p>
        </w:tc>
        <w:tc>
          <w:tcPr>
            <w:tcW w:w="1278" w:type="dxa"/>
            <w:noWrap/>
            <w:hideMark/>
          </w:tcPr>
          <w:p w14:paraId="25CCF511" w14:textId="32024CAE" w:rsidR="00A45775" w:rsidRDefault="0045261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Pr>
                <w:rFonts w:ascii="Calibri" w:hAnsi="Calibri" w:cs="Calibri"/>
              </w:rPr>
              <w:t>622</w:t>
            </w:r>
          </w:p>
        </w:tc>
        <w:tc>
          <w:tcPr>
            <w:tcW w:w="1278" w:type="dxa"/>
            <w:noWrap/>
            <w:hideMark/>
          </w:tcPr>
          <w:p w14:paraId="42E2528F" w14:textId="4A8FA51D" w:rsidR="00A45775" w:rsidRDefault="0045261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Pr>
                <w:rFonts w:ascii="Calibri" w:hAnsi="Calibri" w:cs="Calibri"/>
              </w:rPr>
              <w:t>660</w:t>
            </w:r>
          </w:p>
        </w:tc>
        <w:tc>
          <w:tcPr>
            <w:tcW w:w="1278" w:type="dxa"/>
            <w:noWrap/>
            <w:hideMark/>
          </w:tcPr>
          <w:p w14:paraId="7F86196D" w14:textId="4D9A27A6" w:rsidR="00A45775" w:rsidRDefault="0045261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r>
              <w:rPr>
                <w:rFonts w:ascii="Calibri" w:hAnsi="Calibri" w:cs="Calibri"/>
              </w:rPr>
              <w:t>38</w:t>
            </w:r>
          </w:p>
        </w:tc>
        <w:tc>
          <w:tcPr>
            <w:tcW w:w="1331" w:type="dxa"/>
            <w:hideMark/>
          </w:tcPr>
          <w:p w14:paraId="568A76DD" w14:textId="48D9E574" w:rsidR="00A45775" w:rsidRDefault="0045261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6.1</w:t>
            </w:r>
            <w:r w:rsidR="00A45775">
              <w:rPr>
                <w:rFonts w:ascii="Calibri" w:hAnsi="Calibri" w:cs="Calibri"/>
              </w:rPr>
              <w:t>%</w:t>
            </w:r>
          </w:p>
        </w:tc>
      </w:tr>
      <w:tr w:rsidR="00A45775" w14:paraId="1A9BF3D8" w14:textId="77777777" w:rsidTr="00014611">
        <w:trPr>
          <w:trHeight w:val="283"/>
        </w:trPr>
        <w:tc>
          <w:tcPr>
            <w:cnfStyle w:val="001000000000" w:firstRow="0" w:lastRow="0" w:firstColumn="1" w:lastColumn="0" w:oddVBand="0" w:evenVBand="0" w:oddHBand="0" w:evenHBand="0" w:firstRowFirstColumn="0" w:firstRowLastColumn="0" w:lastRowFirstColumn="0" w:lastRowLastColumn="0"/>
            <w:tcW w:w="3902" w:type="dxa"/>
            <w:noWrap/>
            <w:hideMark/>
          </w:tcPr>
          <w:p w14:paraId="0397593B" w14:textId="77777777" w:rsidR="00A45775" w:rsidRDefault="00A45775">
            <w:pPr>
              <w:ind w:left="176"/>
              <w:contextualSpacing/>
              <w:rPr>
                <w:rFonts w:eastAsia="Times New Roman" w:cstheme="minorHAnsi"/>
                <w:color w:val="000000"/>
                <w:lang w:eastAsia="en-GB"/>
              </w:rPr>
            </w:pPr>
            <w:r>
              <w:rPr>
                <w:rFonts w:ascii="Calibri" w:hAnsi="Calibri" w:cs="Calibri"/>
              </w:rPr>
              <w:t>Final energy consumption - transport</w:t>
            </w:r>
          </w:p>
        </w:tc>
        <w:tc>
          <w:tcPr>
            <w:tcW w:w="1278" w:type="dxa"/>
            <w:noWrap/>
            <w:hideMark/>
          </w:tcPr>
          <w:p w14:paraId="6046EA3F" w14:textId="0D6A167F" w:rsidR="00A45775" w:rsidRDefault="00452616">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Pr>
                <w:rFonts w:ascii="Calibri" w:hAnsi="Calibri" w:cs="Calibri"/>
              </w:rPr>
              <w:t>347</w:t>
            </w:r>
          </w:p>
        </w:tc>
        <w:tc>
          <w:tcPr>
            <w:tcW w:w="1278" w:type="dxa"/>
            <w:noWrap/>
            <w:hideMark/>
          </w:tcPr>
          <w:p w14:paraId="1B956D79" w14:textId="165D375D" w:rsidR="00A45775" w:rsidRDefault="00A45775">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Pr>
                <w:rFonts w:ascii="Calibri" w:hAnsi="Calibri" w:cs="Calibri"/>
              </w:rPr>
              <w:t>3</w:t>
            </w:r>
            <w:r w:rsidR="00452616">
              <w:rPr>
                <w:rFonts w:ascii="Calibri" w:hAnsi="Calibri" w:cs="Calibri"/>
              </w:rPr>
              <w:t>87</w:t>
            </w:r>
          </w:p>
        </w:tc>
        <w:tc>
          <w:tcPr>
            <w:tcW w:w="1278" w:type="dxa"/>
            <w:noWrap/>
            <w:hideMark/>
          </w:tcPr>
          <w:p w14:paraId="4E9574BA" w14:textId="6ACC71CB" w:rsidR="00A45775" w:rsidRDefault="005F5670">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lang w:eastAsia="en-GB"/>
              </w:rPr>
            </w:pPr>
            <w:r>
              <w:rPr>
                <w:rFonts w:ascii="Calibri" w:hAnsi="Calibri" w:cs="Calibri"/>
              </w:rPr>
              <w:t>40</w:t>
            </w:r>
          </w:p>
        </w:tc>
        <w:tc>
          <w:tcPr>
            <w:tcW w:w="1331" w:type="dxa"/>
            <w:hideMark/>
          </w:tcPr>
          <w:p w14:paraId="56ABDF22" w14:textId="2E4D42B2" w:rsidR="00A45775" w:rsidRDefault="005F567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11.5</w:t>
            </w:r>
            <w:r w:rsidR="00A45775">
              <w:rPr>
                <w:rFonts w:ascii="Calibri" w:hAnsi="Calibri" w:cs="Calibri"/>
              </w:rPr>
              <w:t>%</w:t>
            </w:r>
          </w:p>
        </w:tc>
      </w:tr>
      <w:tr w:rsidR="00A45775" w14:paraId="4A040FC0" w14:textId="77777777" w:rsidTr="0001461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902" w:type="dxa"/>
            <w:noWrap/>
            <w:hideMark/>
          </w:tcPr>
          <w:p w14:paraId="6BE66CCC" w14:textId="77777777" w:rsidR="00A45775" w:rsidRDefault="00A45775">
            <w:pPr>
              <w:ind w:left="176"/>
              <w:contextualSpacing/>
              <w:rPr>
                <w:rFonts w:eastAsia="Times New Roman" w:cstheme="minorHAnsi"/>
                <w:color w:val="000000"/>
                <w:lang w:eastAsia="en-GB"/>
              </w:rPr>
            </w:pPr>
            <w:r>
              <w:rPr>
                <w:rFonts w:ascii="Calibri" w:hAnsi="Calibri" w:cs="Calibri"/>
              </w:rPr>
              <w:t>Final energy consumption - industry</w:t>
            </w:r>
          </w:p>
        </w:tc>
        <w:tc>
          <w:tcPr>
            <w:tcW w:w="1278" w:type="dxa"/>
            <w:noWrap/>
            <w:hideMark/>
          </w:tcPr>
          <w:p w14:paraId="01E8CB52" w14:textId="1F7585E6" w:rsidR="00A45775" w:rsidRDefault="0045261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Pr>
                <w:rFonts w:ascii="Calibri" w:hAnsi="Calibri" w:cs="Calibri"/>
              </w:rPr>
              <w:t>58</w:t>
            </w:r>
          </w:p>
        </w:tc>
        <w:tc>
          <w:tcPr>
            <w:tcW w:w="1278" w:type="dxa"/>
            <w:noWrap/>
            <w:hideMark/>
          </w:tcPr>
          <w:p w14:paraId="5ACCA9FB" w14:textId="52BE36A1" w:rsidR="00A45775" w:rsidRDefault="00A45775">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Pr>
                <w:rFonts w:ascii="Calibri" w:hAnsi="Calibri" w:cs="Calibri"/>
              </w:rPr>
              <w:t>5</w:t>
            </w:r>
            <w:r w:rsidR="00452616">
              <w:rPr>
                <w:rFonts w:ascii="Calibri" w:hAnsi="Calibri" w:cs="Calibri"/>
              </w:rPr>
              <w:t>6</w:t>
            </w:r>
          </w:p>
        </w:tc>
        <w:tc>
          <w:tcPr>
            <w:tcW w:w="1278" w:type="dxa"/>
            <w:noWrap/>
            <w:hideMark/>
          </w:tcPr>
          <w:p w14:paraId="78A1EDEE" w14:textId="47B60B9F" w:rsidR="00A45775" w:rsidRDefault="00FD56D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r w:rsidRPr="00FD56D4">
              <w:rPr>
                <w:rFonts w:ascii="Times New Roman" w:hAnsi="Times New Roman" w:cs="Times New Roman"/>
              </w:rPr>
              <w:noBreakHyphen/>
            </w:r>
            <w:r w:rsidR="00A45775">
              <w:rPr>
                <w:rFonts w:ascii="Calibri" w:hAnsi="Calibri" w:cs="Calibri"/>
              </w:rPr>
              <w:t>2</w:t>
            </w:r>
          </w:p>
        </w:tc>
        <w:tc>
          <w:tcPr>
            <w:tcW w:w="1331" w:type="dxa"/>
            <w:hideMark/>
          </w:tcPr>
          <w:p w14:paraId="7731BBF1" w14:textId="3021F8CC" w:rsidR="00A45775" w:rsidRDefault="00FD56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FD56D4">
              <w:rPr>
                <w:rFonts w:ascii="Times New Roman" w:hAnsi="Times New Roman" w:cs="Times New Roman"/>
              </w:rPr>
              <w:noBreakHyphen/>
            </w:r>
            <w:r w:rsidR="005F5670">
              <w:rPr>
                <w:rFonts w:ascii="Calibri" w:hAnsi="Calibri" w:cs="Calibri"/>
              </w:rPr>
              <w:t>3.4</w:t>
            </w:r>
            <w:r w:rsidR="00A45775">
              <w:rPr>
                <w:rFonts w:ascii="Calibri" w:hAnsi="Calibri" w:cs="Calibri"/>
              </w:rPr>
              <w:t>%</w:t>
            </w:r>
          </w:p>
        </w:tc>
      </w:tr>
      <w:tr w:rsidR="00A45775" w14:paraId="0EC7A9F1" w14:textId="77777777" w:rsidTr="00014611">
        <w:trPr>
          <w:trHeight w:val="283"/>
        </w:trPr>
        <w:tc>
          <w:tcPr>
            <w:cnfStyle w:val="001000000000" w:firstRow="0" w:lastRow="0" w:firstColumn="1" w:lastColumn="0" w:oddVBand="0" w:evenVBand="0" w:oddHBand="0" w:evenHBand="0" w:firstRowFirstColumn="0" w:firstRowLastColumn="0" w:lastRowFirstColumn="0" w:lastRowLastColumn="0"/>
            <w:tcW w:w="3902" w:type="dxa"/>
            <w:noWrap/>
            <w:hideMark/>
          </w:tcPr>
          <w:p w14:paraId="18DD14B1" w14:textId="77777777" w:rsidR="00A45775" w:rsidRDefault="00A45775">
            <w:pPr>
              <w:ind w:left="176"/>
              <w:contextualSpacing/>
              <w:rPr>
                <w:rFonts w:eastAsia="Times New Roman" w:cstheme="minorHAnsi"/>
                <w:color w:val="000000"/>
                <w:lang w:eastAsia="en-GB"/>
              </w:rPr>
            </w:pPr>
            <w:r>
              <w:rPr>
                <w:rFonts w:ascii="Calibri" w:hAnsi="Calibri" w:cs="Calibri"/>
              </w:rPr>
              <w:t>Final energy consumption - services</w:t>
            </w:r>
          </w:p>
        </w:tc>
        <w:tc>
          <w:tcPr>
            <w:tcW w:w="1278" w:type="dxa"/>
            <w:noWrap/>
            <w:hideMark/>
          </w:tcPr>
          <w:p w14:paraId="746F78E7" w14:textId="61CB1A14" w:rsidR="00A45775" w:rsidRDefault="00A45775">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Pr>
                <w:rFonts w:ascii="Calibri" w:hAnsi="Calibri" w:cs="Calibri"/>
              </w:rPr>
              <w:t>1</w:t>
            </w:r>
            <w:r w:rsidR="00452616">
              <w:rPr>
                <w:rFonts w:ascii="Calibri" w:hAnsi="Calibri" w:cs="Calibri"/>
              </w:rPr>
              <w:t>24</w:t>
            </w:r>
          </w:p>
        </w:tc>
        <w:tc>
          <w:tcPr>
            <w:tcW w:w="1278" w:type="dxa"/>
            <w:noWrap/>
            <w:hideMark/>
          </w:tcPr>
          <w:p w14:paraId="737E355E" w14:textId="26EE3CC1" w:rsidR="00A45775" w:rsidRDefault="00A45775">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Pr>
                <w:rFonts w:ascii="Calibri" w:hAnsi="Calibri" w:cs="Calibri"/>
              </w:rPr>
              <w:t>12</w:t>
            </w:r>
            <w:r w:rsidR="00452616">
              <w:rPr>
                <w:rFonts w:ascii="Calibri" w:hAnsi="Calibri" w:cs="Calibri"/>
              </w:rPr>
              <w:t>0</w:t>
            </w:r>
          </w:p>
        </w:tc>
        <w:tc>
          <w:tcPr>
            <w:tcW w:w="1278" w:type="dxa"/>
            <w:noWrap/>
            <w:hideMark/>
          </w:tcPr>
          <w:p w14:paraId="4BD2564D" w14:textId="7F28003B" w:rsidR="00A45775" w:rsidRDefault="00FD56D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lang w:eastAsia="en-GB"/>
              </w:rPr>
            </w:pPr>
            <w:r w:rsidRPr="00FD56D4">
              <w:rPr>
                <w:rFonts w:ascii="Times New Roman" w:hAnsi="Times New Roman" w:cs="Times New Roman"/>
              </w:rPr>
              <w:noBreakHyphen/>
            </w:r>
            <w:r w:rsidR="005F5670">
              <w:rPr>
                <w:rFonts w:ascii="Calibri" w:hAnsi="Calibri" w:cs="Calibri"/>
              </w:rPr>
              <w:t>4</w:t>
            </w:r>
          </w:p>
        </w:tc>
        <w:tc>
          <w:tcPr>
            <w:tcW w:w="1331" w:type="dxa"/>
            <w:hideMark/>
          </w:tcPr>
          <w:p w14:paraId="5F45AB40" w14:textId="385FED21" w:rsidR="00A45775" w:rsidRDefault="00FD56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D4">
              <w:rPr>
                <w:rFonts w:ascii="Times New Roman" w:hAnsi="Times New Roman" w:cs="Times New Roman"/>
              </w:rPr>
              <w:noBreakHyphen/>
            </w:r>
            <w:r w:rsidR="005F5670">
              <w:rPr>
                <w:rFonts w:ascii="Calibri" w:hAnsi="Calibri" w:cs="Calibri"/>
              </w:rPr>
              <w:t>3.2</w:t>
            </w:r>
            <w:r w:rsidR="00A45775">
              <w:rPr>
                <w:rFonts w:ascii="Calibri" w:hAnsi="Calibri" w:cs="Calibri"/>
              </w:rPr>
              <w:t>%</w:t>
            </w:r>
          </w:p>
        </w:tc>
      </w:tr>
      <w:tr w:rsidR="00A45775" w14:paraId="514CBFC7" w14:textId="77777777" w:rsidTr="0001461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902" w:type="dxa"/>
            <w:noWrap/>
            <w:hideMark/>
          </w:tcPr>
          <w:p w14:paraId="1CCF476A" w14:textId="77777777" w:rsidR="00A45775" w:rsidRDefault="00A45775">
            <w:pPr>
              <w:ind w:left="176"/>
              <w:contextualSpacing/>
              <w:rPr>
                <w:rFonts w:eastAsia="Times New Roman" w:cstheme="minorHAnsi"/>
                <w:color w:val="000000"/>
                <w:lang w:eastAsia="en-GB"/>
              </w:rPr>
            </w:pPr>
            <w:r>
              <w:rPr>
                <w:rFonts w:ascii="Calibri" w:hAnsi="Calibri" w:cs="Calibri"/>
              </w:rPr>
              <w:t>Final energy consumption - residential</w:t>
            </w:r>
          </w:p>
        </w:tc>
        <w:tc>
          <w:tcPr>
            <w:tcW w:w="1278" w:type="dxa"/>
            <w:noWrap/>
            <w:hideMark/>
          </w:tcPr>
          <w:p w14:paraId="56F35E36" w14:textId="6D2463BC" w:rsidR="00A45775" w:rsidRDefault="00452616">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Pr>
                <w:rFonts w:ascii="Calibri" w:hAnsi="Calibri" w:cs="Calibri"/>
              </w:rPr>
              <w:t>85</w:t>
            </w:r>
          </w:p>
        </w:tc>
        <w:tc>
          <w:tcPr>
            <w:tcW w:w="1278" w:type="dxa"/>
            <w:noWrap/>
            <w:hideMark/>
          </w:tcPr>
          <w:p w14:paraId="51721A01" w14:textId="6165ACCC" w:rsidR="00A45775" w:rsidRDefault="00A45775">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Pr>
                <w:rFonts w:ascii="Calibri" w:hAnsi="Calibri" w:cs="Calibri"/>
              </w:rPr>
              <w:t>8</w:t>
            </w:r>
            <w:r w:rsidR="00452616">
              <w:rPr>
                <w:rFonts w:ascii="Calibri" w:hAnsi="Calibri" w:cs="Calibri"/>
              </w:rPr>
              <w:t>7</w:t>
            </w:r>
          </w:p>
        </w:tc>
        <w:tc>
          <w:tcPr>
            <w:tcW w:w="1278" w:type="dxa"/>
            <w:noWrap/>
            <w:hideMark/>
          </w:tcPr>
          <w:p w14:paraId="215C70C8" w14:textId="4E51E57A" w:rsidR="00A45775" w:rsidRDefault="005F5670">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lang w:eastAsia="en-GB"/>
              </w:rPr>
            </w:pPr>
            <w:r>
              <w:rPr>
                <w:rFonts w:ascii="Calibri" w:hAnsi="Calibri" w:cs="Calibri"/>
              </w:rPr>
              <w:t>2</w:t>
            </w:r>
          </w:p>
        </w:tc>
        <w:tc>
          <w:tcPr>
            <w:tcW w:w="1331" w:type="dxa"/>
            <w:hideMark/>
          </w:tcPr>
          <w:p w14:paraId="725F6904" w14:textId="172455D6" w:rsidR="00A45775" w:rsidRDefault="005F567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2.3</w:t>
            </w:r>
            <w:r w:rsidR="00A45775">
              <w:rPr>
                <w:rFonts w:ascii="Calibri" w:hAnsi="Calibri" w:cs="Calibri"/>
              </w:rPr>
              <w:t>%</w:t>
            </w:r>
          </w:p>
        </w:tc>
      </w:tr>
    </w:tbl>
    <w:p w14:paraId="7BCF0178" w14:textId="77777777" w:rsidR="00014611" w:rsidRDefault="00014611" w:rsidP="004550F8">
      <w:pPr>
        <w:pStyle w:val="Caption"/>
        <w:keepNext/>
      </w:pPr>
    </w:p>
    <w:p w14:paraId="51563AE1" w14:textId="4221A3A5" w:rsidR="00A45775" w:rsidRPr="004550F8" w:rsidRDefault="00A45775" w:rsidP="004550F8">
      <w:pPr>
        <w:pStyle w:val="Caption"/>
        <w:keepNext/>
      </w:pPr>
      <w:r w:rsidRPr="004550F8">
        <w:t xml:space="preserve">Table </w:t>
      </w:r>
      <w:r w:rsidR="00830EAE">
        <w:rPr>
          <w:noProof/>
        </w:rPr>
        <w:fldChar w:fldCharType="begin"/>
      </w:r>
      <w:r w:rsidR="00830EAE">
        <w:rPr>
          <w:noProof/>
        </w:rPr>
        <w:instrText xml:space="preserve"> SEQ Table \* ARABIC </w:instrText>
      </w:r>
      <w:r w:rsidR="00830EAE">
        <w:rPr>
          <w:noProof/>
        </w:rPr>
        <w:fldChar w:fldCharType="separate"/>
      </w:r>
      <w:r w:rsidR="000C5602">
        <w:rPr>
          <w:noProof/>
        </w:rPr>
        <w:t>3</w:t>
      </w:r>
      <w:r w:rsidR="00830EAE">
        <w:rPr>
          <w:noProof/>
        </w:rPr>
        <w:fldChar w:fldCharType="end"/>
      </w:r>
      <w:r w:rsidRPr="004550F8">
        <w:t>. Changes in socio-economic indicators in 201</w:t>
      </w:r>
      <w:r w:rsidR="00123B64">
        <w:t xml:space="preserve">8 </w:t>
      </w:r>
      <w:r w:rsidRPr="004550F8">
        <w:t>from 201</w:t>
      </w:r>
      <w:r w:rsidR="00123B64">
        <w:t>7</w:t>
      </w:r>
      <w:r w:rsidRPr="004550F8">
        <w:t xml:space="preserve"> levels</w:t>
      </w:r>
    </w:p>
    <w:tbl>
      <w:tblPr>
        <w:tblStyle w:val="PlainTable1"/>
        <w:tblW w:w="9645" w:type="dxa"/>
        <w:tblLayout w:type="fixed"/>
        <w:tblLook w:val="04A0" w:firstRow="1" w:lastRow="0" w:firstColumn="1" w:lastColumn="0" w:noHBand="0" w:noVBand="1"/>
      </w:tblPr>
      <w:tblGrid>
        <w:gridCol w:w="4531"/>
        <w:gridCol w:w="1048"/>
        <w:gridCol w:w="1504"/>
        <w:gridCol w:w="1336"/>
        <w:gridCol w:w="1226"/>
      </w:tblGrid>
      <w:tr w:rsidR="00A45775" w14:paraId="74253CE4" w14:textId="77777777" w:rsidTr="0050497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1" w:type="dxa"/>
            <w:noWrap/>
            <w:hideMark/>
          </w:tcPr>
          <w:p w14:paraId="741DBBB4" w14:textId="77777777" w:rsidR="00A45775" w:rsidRDefault="00A45775">
            <w:pPr>
              <w:jc w:val="center"/>
              <w:rPr>
                <w:rFonts w:eastAsia="Times New Roman" w:cstheme="minorHAnsi"/>
                <w:b w:val="0"/>
                <w:color w:val="000000"/>
                <w:lang w:eastAsia="en-GB"/>
              </w:rPr>
            </w:pPr>
            <w:r>
              <w:rPr>
                <w:rFonts w:eastAsia="Times New Roman" w:cstheme="minorHAnsi"/>
                <w:b w:val="0"/>
                <w:bCs w:val="0"/>
                <w:color w:val="000000"/>
                <w:lang w:eastAsia="en-GB"/>
              </w:rPr>
              <w:t>Indicators</w:t>
            </w:r>
          </w:p>
        </w:tc>
        <w:tc>
          <w:tcPr>
            <w:tcW w:w="1048" w:type="dxa"/>
            <w:hideMark/>
          </w:tcPr>
          <w:p w14:paraId="33B6CCCC" w14:textId="77777777" w:rsidR="00A45775" w:rsidRDefault="00A4577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eastAsia="en-GB"/>
              </w:rPr>
            </w:pPr>
            <w:r>
              <w:rPr>
                <w:rFonts w:eastAsia="Times New Roman" w:cstheme="minorHAnsi"/>
                <w:b w:val="0"/>
                <w:bCs w:val="0"/>
                <w:color w:val="000000"/>
                <w:lang w:eastAsia="en-GB"/>
              </w:rPr>
              <w:t>Units</w:t>
            </w:r>
          </w:p>
        </w:tc>
        <w:tc>
          <w:tcPr>
            <w:tcW w:w="1504" w:type="dxa"/>
            <w:noWrap/>
            <w:hideMark/>
          </w:tcPr>
          <w:p w14:paraId="06DB70E0" w14:textId="223BD41B" w:rsidR="00A45775" w:rsidRDefault="00A4577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eastAsia="en-GB"/>
              </w:rPr>
            </w:pPr>
            <w:r>
              <w:rPr>
                <w:rFonts w:eastAsia="Times New Roman" w:cstheme="minorHAnsi"/>
                <w:b w:val="0"/>
                <w:bCs w:val="0"/>
                <w:color w:val="000000"/>
                <w:lang w:eastAsia="en-GB"/>
              </w:rPr>
              <w:t>201</w:t>
            </w:r>
            <w:r w:rsidR="002F6679">
              <w:rPr>
                <w:rFonts w:eastAsia="Times New Roman" w:cstheme="minorHAnsi"/>
                <w:b w:val="0"/>
                <w:bCs w:val="0"/>
                <w:color w:val="000000"/>
                <w:lang w:eastAsia="en-GB"/>
              </w:rPr>
              <w:t xml:space="preserve">7 </w:t>
            </w:r>
            <w:r>
              <w:rPr>
                <w:rFonts w:eastAsia="Times New Roman" w:cstheme="minorHAnsi"/>
                <w:b w:val="0"/>
                <w:bCs w:val="0"/>
                <w:color w:val="000000"/>
                <w:lang w:eastAsia="en-GB"/>
              </w:rPr>
              <w:t>Level</w:t>
            </w:r>
          </w:p>
        </w:tc>
        <w:tc>
          <w:tcPr>
            <w:tcW w:w="1336" w:type="dxa"/>
            <w:noWrap/>
            <w:hideMark/>
          </w:tcPr>
          <w:p w14:paraId="2B85EEC8" w14:textId="296B667F" w:rsidR="00A45775" w:rsidRDefault="00A4577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eastAsia="en-GB"/>
              </w:rPr>
            </w:pPr>
            <w:r>
              <w:rPr>
                <w:rFonts w:eastAsia="Times New Roman" w:cstheme="minorHAnsi"/>
                <w:b w:val="0"/>
                <w:bCs w:val="0"/>
                <w:color w:val="000000"/>
                <w:lang w:eastAsia="en-GB"/>
              </w:rPr>
              <w:t>201</w:t>
            </w:r>
            <w:r w:rsidR="002F6679">
              <w:rPr>
                <w:rFonts w:eastAsia="Times New Roman" w:cstheme="minorHAnsi"/>
                <w:b w:val="0"/>
                <w:bCs w:val="0"/>
                <w:color w:val="000000"/>
                <w:lang w:eastAsia="en-GB"/>
              </w:rPr>
              <w:t>8</w:t>
            </w:r>
            <w:r>
              <w:rPr>
                <w:rFonts w:eastAsia="Times New Roman" w:cstheme="minorHAnsi"/>
                <w:b w:val="0"/>
                <w:bCs w:val="0"/>
                <w:color w:val="000000"/>
                <w:lang w:eastAsia="en-GB"/>
              </w:rPr>
              <w:t xml:space="preserve"> Level</w:t>
            </w:r>
          </w:p>
        </w:tc>
        <w:tc>
          <w:tcPr>
            <w:tcW w:w="1226" w:type="dxa"/>
            <w:hideMark/>
          </w:tcPr>
          <w:p w14:paraId="4C264B58" w14:textId="1780B8BA" w:rsidR="00A45775" w:rsidRDefault="00A4577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lang w:eastAsia="en-GB"/>
              </w:rPr>
            </w:pPr>
            <w:r>
              <w:rPr>
                <w:rFonts w:eastAsia="Times New Roman" w:cstheme="minorHAnsi"/>
                <w:b w:val="0"/>
                <w:bCs w:val="0"/>
                <w:color w:val="000000"/>
                <w:lang w:eastAsia="en-GB"/>
              </w:rPr>
              <w:t>2017-201</w:t>
            </w:r>
            <w:r w:rsidR="002F6679">
              <w:rPr>
                <w:rFonts w:eastAsia="Times New Roman" w:cstheme="minorHAnsi"/>
                <w:b w:val="0"/>
                <w:bCs w:val="0"/>
                <w:color w:val="000000"/>
                <w:lang w:eastAsia="en-GB"/>
              </w:rPr>
              <w:t xml:space="preserve">8 </w:t>
            </w:r>
            <w:r>
              <w:rPr>
                <w:rFonts w:eastAsia="Times New Roman" w:cstheme="minorHAnsi"/>
                <w:b w:val="0"/>
                <w:bCs w:val="0"/>
                <w:color w:val="000000"/>
                <w:lang w:eastAsia="en-GB"/>
              </w:rPr>
              <w:t>Percentage Change</w:t>
            </w:r>
          </w:p>
        </w:tc>
      </w:tr>
      <w:tr w:rsidR="00A201CA" w14:paraId="0774A70E" w14:textId="77777777" w:rsidTr="0050497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539DF36F" w14:textId="77777777" w:rsidR="00A201CA" w:rsidRDefault="00A201CA" w:rsidP="00A201CA">
            <w:pPr>
              <w:rPr>
                <w:rFonts w:eastAsia="Times New Roman" w:cstheme="minorHAnsi"/>
                <w:b w:val="0"/>
                <w:bCs w:val="0"/>
                <w:color w:val="000000"/>
                <w:lang w:eastAsia="en-GB"/>
              </w:rPr>
            </w:pPr>
            <w:r>
              <w:rPr>
                <w:rFonts w:ascii="Calibri" w:hAnsi="Calibri" w:cs="Calibri"/>
                <w:color w:val="000000"/>
              </w:rPr>
              <w:t xml:space="preserve"> Real Gross Domestic Product </w:t>
            </w:r>
          </w:p>
        </w:tc>
        <w:tc>
          <w:tcPr>
            <w:tcW w:w="1048" w:type="dxa"/>
            <w:hideMark/>
          </w:tcPr>
          <w:p w14:paraId="6D90C5DC" w14:textId="6F33853E"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2010</w:t>
            </w:r>
            <w:r w:rsidR="0050497C">
              <w:rPr>
                <w:rFonts w:ascii="Calibri" w:hAnsi="Calibri" w:cs="Calibri"/>
                <w:color w:val="000000"/>
                <w:sz w:val="20"/>
                <w:szCs w:val="20"/>
              </w:rPr>
              <w:t xml:space="preserve"> </w:t>
            </w:r>
            <w:r>
              <w:rPr>
                <w:rFonts w:ascii="Calibri" w:hAnsi="Calibri" w:cs="Calibri"/>
                <w:color w:val="000000"/>
                <w:sz w:val="20"/>
                <w:szCs w:val="20"/>
              </w:rPr>
              <w:t>€ 000</w:t>
            </w:r>
          </w:p>
        </w:tc>
        <w:tc>
          <w:tcPr>
            <w:tcW w:w="1504" w:type="dxa"/>
            <w:noWrap/>
            <w:hideMark/>
          </w:tcPr>
          <w:p w14:paraId="66036F46" w14:textId="76237EFC" w:rsidR="00A201CA" w:rsidRDefault="00A201CA" w:rsidP="00A201CA">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sidRPr="0035026D">
              <w:rPr>
                <w:rFonts w:eastAsia="Times New Roman" w:cstheme="minorHAnsi"/>
                <w:color w:val="000000"/>
                <w:lang w:eastAsia="en-GB"/>
              </w:rPr>
              <w:t>9</w:t>
            </w:r>
            <w:r>
              <w:rPr>
                <w:rFonts w:eastAsia="Times New Roman" w:cstheme="minorHAnsi"/>
                <w:color w:val="000000"/>
                <w:lang w:eastAsia="en-GB"/>
              </w:rPr>
              <w:t>,</w:t>
            </w:r>
            <w:r w:rsidRPr="0035026D">
              <w:rPr>
                <w:rFonts w:eastAsia="Times New Roman" w:cstheme="minorHAnsi"/>
                <w:color w:val="000000"/>
                <w:lang w:eastAsia="en-GB"/>
              </w:rPr>
              <w:t>796</w:t>
            </w:r>
            <w:r>
              <w:rPr>
                <w:rFonts w:eastAsia="Times New Roman" w:cstheme="minorHAnsi"/>
                <w:color w:val="000000"/>
                <w:lang w:eastAsia="en-GB"/>
              </w:rPr>
              <w:t>,</w:t>
            </w:r>
            <w:r w:rsidRPr="0035026D">
              <w:rPr>
                <w:rFonts w:eastAsia="Times New Roman" w:cstheme="minorHAnsi"/>
                <w:color w:val="000000"/>
                <w:lang w:eastAsia="en-GB"/>
              </w:rPr>
              <w:t>312</w:t>
            </w:r>
          </w:p>
        </w:tc>
        <w:tc>
          <w:tcPr>
            <w:tcW w:w="1336" w:type="dxa"/>
            <w:noWrap/>
            <w:hideMark/>
          </w:tcPr>
          <w:p w14:paraId="2CD0AF11" w14:textId="57DAFAF6" w:rsidR="00A201CA" w:rsidRDefault="00A201CA" w:rsidP="0050497C">
            <w:pPr>
              <w:ind w:left="-1185" w:firstLine="1185"/>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sidRPr="0035026D">
              <w:rPr>
                <w:rFonts w:eastAsia="Times New Roman" w:cstheme="minorHAnsi"/>
                <w:color w:val="000000"/>
                <w:lang w:eastAsia="en-GB"/>
              </w:rPr>
              <w:t>10</w:t>
            </w:r>
            <w:r>
              <w:rPr>
                <w:rFonts w:eastAsia="Times New Roman" w:cstheme="minorHAnsi"/>
                <w:color w:val="000000"/>
                <w:lang w:eastAsia="en-GB"/>
              </w:rPr>
              <w:t>,</w:t>
            </w:r>
            <w:r w:rsidRPr="0035026D">
              <w:rPr>
                <w:rFonts w:eastAsia="Times New Roman" w:cstheme="minorHAnsi"/>
                <w:color w:val="000000"/>
                <w:lang w:eastAsia="en-GB"/>
              </w:rPr>
              <w:t>512</w:t>
            </w:r>
            <w:r>
              <w:rPr>
                <w:rFonts w:eastAsia="Times New Roman" w:cstheme="minorHAnsi"/>
                <w:color w:val="000000"/>
                <w:lang w:eastAsia="en-GB"/>
              </w:rPr>
              <w:t>,</w:t>
            </w:r>
            <w:r w:rsidRPr="0035026D">
              <w:rPr>
                <w:rFonts w:eastAsia="Times New Roman" w:cstheme="minorHAnsi"/>
                <w:color w:val="000000"/>
                <w:lang w:eastAsia="en-GB"/>
              </w:rPr>
              <w:t>836</w:t>
            </w:r>
          </w:p>
        </w:tc>
        <w:tc>
          <w:tcPr>
            <w:tcW w:w="1226" w:type="dxa"/>
            <w:vAlign w:val="center"/>
            <w:hideMark/>
          </w:tcPr>
          <w:p w14:paraId="5CD8E276" w14:textId="3244CB28"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color w:val="000000"/>
              </w:rPr>
              <w:t>7.31%</w:t>
            </w:r>
          </w:p>
        </w:tc>
      </w:tr>
      <w:tr w:rsidR="00A201CA" w14:paraId="512964C0" w14:textId="77777777" w:rsidTr="0050497C">
        <w:trPr>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213983ED" w14:textId="77777777" w:rsidR="00A201CA" w:rsidRDefault="00A201CA" w:rsidP="00A201CA">
            <w:pPr>
              <w:rPr>
                <w:rFonts w:eastAsia="Times New Roman" w:cstheme="minorHAnsi"/>
                <w:color w:val="000000"/>
                <w:lang w:eastAsia="en-GB"/>
              </w:rPr>
            </w:pPr>
            <w:r>
              <w:rPr>
                <w:rFonts w:ascii="Calibri" w:hAnsi="Calibri" w:cs="Calibri"/>
                <w:color w:val="000000"/>
              </w:rPr>
              <w:t xml:space="preserve"> Population (end of year)</w:t>
            </w:r>
          </w:p>
        </w:tc>
        <w:tc>
          <w:tcPr>
            <w:tcW w:w="1048" w:type="dxa"/>
            <w:hideMark/>
          </w:tcPr>
          <w:p w14:paraId="3686EBA5" w14:textId="77777777" w:rsidR="00A201CA" w:rsidRDefault="00A201CA" w:rsidP="00A201C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Number</w:t>
            </w:r>
          </w:p>
        </w:tc>
        <w:tc>
          <w:tcPr>
            <w:tcW w:w="1504" w:type="dxa"/>
            <w:noWrap/>
            <w:hideMark/>
          </w:tcPr>
          <w:p w14:paraId="710AFCE5" w14:textId="4ACB8D92" w:rsidR="00A201CA" w:rsidRDefault="00A201CA" w:rsidP="00A201CA">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35026D">
              <w:rPr>
                <w:rFonts w:eastAsia="Times New Roman" w:cstheme="minorHAnsi"/>
                <w:color w:val="000000"/>
                <w:lang w:eastAsia="en-GB"/>
              </w:rPr>
              <w:t>475</w:t>
            </w:r>
            <w:r>
              <w:rPr>
                <w:rFonts w:eastAsia="Times New Roman" w:cstheme="minorHAnsi"/>
                <w:color w:val="000000"/>
                <w:lang w:eastAsia="en-GB"/>
              </w:rPr>
              <w:t>,</w:t>
            </w:r>
            <w:r w:rsidRPr="0035026D">
              <w:rPr>
                <w:rFonts w:eastAsia="Times New Roman" w:cstheme="minorHAnsi"/>
                <w:color w:val="000000"/>
                <w:lang w:eastAsia="en-GB"/>
              </w:rPr>
              <w:t>701</w:t>
            </w:r>
          </w:p>
        </w:tc>
        <w:tc>
          <w:tcPr>
            <w:tcW w:w="1336" w:type="dxa"/>
            <w:noWrap/>
            <w:hideMark/>
          </w:tcPr>
          <w:p w14:paraId="4D94C2DE" w14:textId="52A34CCA" w:rsidR="00A201CA" w:rsidRDefault="00A201CA" w:rsidP="00A201CA">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35026D">
              <w:rPr>
                <w:rFonts w:ascii="Calibri" w:hAnsi="Calibri" w:cs="Calibri"/>
                <w:color w:val="000000"/>
              </w:rPr>
              <w:t>493</w:t>
            </w:r>
            <w:r>
              <w:rPr>
                <w:rFonts w:ascii="Calibri" w:hAnsi="Calibri" w:cs="Calibri"/>
                <w:color w:val="000000"/>
              </w:rPr>
              <w:t>,</w:t>
            </w:r>
            <w:r w:rsidRPr="0035026D">
              <w:rPr>
                <w:rFonts w:ascii="Calibri" w:hAnsi="Calibri" w:cs="Calibri"/>
                <w:color w:val="000000"/>
              </w:rPr>
              <w:t>559</w:t>
            </w:r>
          </w:p>
        </w:tc>
        <w:tc>
          <w:tcPr>
            <w:tcW w:w="1226" w:type="dxa"/>
            <w:vAlign w:val="center"/>
            <w:hideMark/>
          </w:tcPr>
          <w:p w14:paraId="5F04AB38" w14:textId="4BA15281" w:rsidR="00A201CA" w:rsidRDefault="00A201CA" w:rsidP="00A201C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color w:val="000000"/>
              </w:rPr>
              <w:t>3.75%</w:t>
            </w:r>
          </w:p>
        </w:tc>
      </w:tr>
      <w:tr w:rsidR="00A201CA" w14:paraId="212E2170" w14:textId="77777777" w:rsidTr="0050497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3C0AF8AF" w14:textId="77777777" w:rsidR="00A201CA" w:rsidRDefault="00A201CA" w:rsidP="00A201CA">
            <w:pPr>
              <w:rPr>
                <w:rFonts w:eastAsia="Times New Roman" w:cstheme="minorHAnsi"/>
                <w:color w:val="000000"/>
                <w:lang w:eastAsia="en-GB"/>
              </w:rPr>
            </w:pPr>
            <w:r>
              <w:rPr>
                <w:rFonts w:ascii="Calibri" w:hAnsi="Calibri" w:cs="Calibri"/>
                <w:color w:val="000000"/>
              </w:rPr>
              <w:t xml:space="preserve"> Employment (4-quarter average) </w:t>
            </w:r>
          </w:p>
        </w:tc>
        <w:tc>
          <w:tcPr>
            <w:tcW w:w="1048" w:type="dxa"/>
            <w:hideMark/>
          </w:tcPr>
          <w:p w14:paraId="0BF330BD" w14:textId="77777777"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 xml:space="preserve">Number </w:t>
            </w:r>
          </w:p>
        </w:tc>
        <w:tc>
          <w:tcPr>
            <w:tcW w:w="1504" w:type="dxa"/>
            <w:noWrap/>
            <w:hideMark/>
          </w:tcPr>
          <w:p w14:paraId="0BA16A00" w14:textId="06E6EA18" w:rsidR="00A201CA" w:rsidRDefault="00A201CA" w:rsidP="00A201CA">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sidRPr="0035026D">
              <w:rPr>
                <w:rFonts w:eastAsia="Times New Roman" w:cstheme="minorHAnsi"/>
                <w:color w:val="000000"/>
                <w:lang w:eastAsia="en-GB"/>
              </w:rPr>
              <w:t>195</w:t>
            </w:r>
            <w:r>
              <w:rPr>
                <w:rFonts w:eastAsia="Times New Roman" w:cstheme="minorHAnsi"/>
                <w:color w:val="000000"/>
                <w:lang w:eastAsia="en-GB"/>
              </w:rPr>
              <w:t>,</w:t>
            </w:r>
            <w:r w:rsidRPr="0035026D">
              <w:rPr>
                <w:rFonts w:eastAsia="Times New Roman" w:cstheme="minorHAnsi"/>
                <w:color w:val="000000"/>
                <w:lang w:eastAsia="en-GB"/>
              </w:rPr>
              <w:t>710</w:t>
            </w:r>
          </w:p>
        </w:tc>
        <w:tc>
          <w:tcPr>
            <w:tcW w:w="1336" w:type="dxa"/>
            <w:noWrap/>
            <w:hideMark/>
          </w:tcPr>
          <w:p w14:paraId="4A6C4356" w14:textId="672933C7" w:rsidR="00A201CA" w:rsidRDefault="00A201CA" w:rsidP="00A201CA">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sidRPr="0035026D">
              <w:rPr>
                <w:rFonts w:ascii="Calibri" w:hAnsi="Calibri" w:cs="Calibri"/>
                <w:color w:val="000000"/>
              </w:rPr>
              <w:t>207</w:t>
            </w:r>
            <w:r>
              <w:rPr>
                <w:rFonts w:ascii="Calibri" w:hAnsi="Calibri" w:cs="Calibri"/>
                <w:color w:val="000000"/>
              </w:rPr>
              <w:t>,</w:t>
            </w:r>
            <w:r w:rsidRPr="0035026D">
              <w:rPr>
                <w:rFonts w:ascii="Calibri" w:hAnsi="Calibri" w:cs="Calibri"/>
                <w:color w:val="000000"/>
              </w:rPr>
              <w:t>832</w:t>
            </w:r>
          </w:p>
        </w:tc>
        <w:tc>
          <w:tcPr>
            <w:tcW w:w="1226" w:type="dxa"/>
            <w:vAlign w:val="center"/>
            <w:hideMark/>
          </w:tcPr>
          <w:p w14:paraId="36602311" w14:textId="7F9B38C6"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color w:val="000000"/>
              </w:rPr>
              <w:t>6.19%</w:t>
            </w:r>
          </w:p>
        </w:tc>
      </w:tr>
      <w:tr w:rsidR="00A201CA" w14:paraId="4034632F" w14:textId="77777777" w:rsidTr="0050497C">
        <w:trPr>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01C58C80" w14:textId="77777777" w:rsidR="00A201CA" w:rsidRDefault="00A201CA" w:rsidP="00A201CA">
            <w:pPr>
              <w:rPr>
                <w:rFonts w:eastAsia="Times New Roman" w:cstheme="minorHAnsi"/>
                <w:color w:val="000000"/>
                <w:lang w:eastAsia="en-GB"/>
              </w:rPr>
            </w:pPr>
            <w:r>
              <w:rPr>
                <w:rFonts w:ascii="Calibri" w:hAnsi="Calibri" w:cs="Calibri"/>
                <w:color w:val="000000"/>
              </w:rPr>
              <w:t xml:space="preserve"> Final Expenditure Consumption of Households </w:t>
            </w:r>
          </w:p>
        </w:tc>
        <w:tc>
          <w:tcPr>
            <w:tcW w:w="1048" w:type="dxa"/>
            <w:hideMark/>
          </w:tcPr>
          <w:p w14:paraId="12ABB091" w14:textId="50873CC7" w:rsidR="00A201CA" w:rsidRDefault="00A201CA" w:rsidP="00A201C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2010</w:t>
            </w:r>
            <w:r w:rsidR="0050497C">
              <w:rPr>
                <w:rFonts w:ascii="Calibri" w:hAnsi="Calibri" w:cs="Calibri"/>
                <w:color w:val="000000"/>
                <w:sz w:val="20"/>
                <w:szCs w:val="20"/>
              </w:rPr>
              <w:t xml:space="preserve"> </w:t>
            </w:r>
            <w:r>
              <w:rPr>
                <w:rFonts w:ascii="Calibri" w:hAnsi="Calibri" w:cs="Calibri"/>
                <w:color w:val="000000"/>
                <w:sz w:val="20"/>
                <w:szCs w:val="20"/>
              </w:rPr>
              <w:t>€ 000</w:t>
            </w:r>
          </w:p>
        </w:tc>
        <w:tc>
          <w:tcPr>
            <w:tcW w:w="1504" w:type="dxa"/>
            <w:noWrap/>
            <w:hideMark/>
          </w:tcPr>
          <w:p w14:paraId="5FA168A4" w14:textId="32B4481D" w:rsidR="00A201CA" w:rsidRDefault="00A201CA" w:rsidP="00A201CA">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35026D">
              <w:rPr>
                <w:rFonts w:eastAsia="Times New Roman" w:cstheme="minorHAnsi"/>
                <w:color w:val="000000"/>
                <w:lang w:eastAsia="en-GB"/>
              </w:rPr>
              <w:t>4</w:t>
            </w:r>
            <w:r>
              <w:rPr>
                <w:rFonts w:eastAsia="Times New Roman" w:cstheme="minorHAnsi"/>
                <w:color w:val="000000"/>
                <w:lang w:eastAsia="en-GB"/>
              </w:rPr>
              <w:t>,</w:t>
            </w:r>
            <w:r w:rsidRPr="0035026D">
              <w:rPr>
                <w:rFonts w:eastAsia="Times New Roman" w:cstheme="minorHAnsi"/>
                <w:color w:val="000000"/>
                <w:lang w:eastAsia="en-GB"/>
              </w:rPr>
              <w:t>852</w:t>
            </w:r>
            <w:r>
              <w:rPr>
                <w:rFonts w:eastAsia="Times New Roman" w:cstheme="minorHAnsi"/>
                <w:color w:val="000000"/>
                <w:lang w:eastAsia="en-GB"/>
              </w:rPr>
              <w:t>,</w:t>
            </w:r>
            <w:r w:rsidRPr="0035026D">
              <w:rPr>
                <w:rFonts w:eastAsia="Times New Roman" w:cstheme="minorHAnsi"/>
                <w:color w:val="000000"/>
                <w:lang w:eastAsia="en-GB"/>
              </w:rPr>
              <w:t>92</w:t>
            </w:r>
            <w:r>
              <w:rPr>
                <w:rFonts w:eastAsia="Times New Roman" w:cstheme="minorHAnsi"/>
                <w:color w:val="000000"/>
                <w:lang w:eastAsia="en-GB"/>
              </w:rPr>
              <w:t>6</w:t>
            </w:r>
          </w:p>
        </w:tc>
        <w:tc>
          <w:tcPr>
            <w:tcW w:w="1336" w:type="dxa"/>
            <w:noWrap/>
            <w:hideMark/>
          </w:tcPr>
          <w:p w14:paraId="4E3854BD" w14:textId="69D57DFE" w:rsidR="00A201CA" w:rsidRDefault="00A201CA" w:rsidP="00A201CA">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35026D">
              <w:rPr>
                <w:rFonts w:eastAsia="Times New Roman" w:cstheme="minorHAnsi"/>
                <w:color w:val="000000"/>
                <w:lang w:eastAsia="en-GB"/>
              </w:rPr>
              <w:t>5</w:t>
            </w:r>
            <w:r>
              <w:rPr>
                <w:rFonts w:eastAsia="Times New Roman" w:cstheme="minorHAnsi"/>
                <w:color w:val="000000"/>
                <w:lang w:eastAsia="en-GB"/>
              </w:rPr>
              <w:t>,</w:t>
            </w:r>
            <w:r w:rsidRPr="0035026D">
              <w:rPr>
                <w:rFonts w:eastAsia="Times New Roman" w:cstheme="minorHAnsi"/>
                <w:color w:val="000000"/>
                <w:lang w:eastAsia="en-GB"/>
              </w:rPr>
              <w:t>268</w:t>
            </w:r>
            <w:r>
              <w:rPr>
                <w:rFonts w:eastAsia="Times New Roman" w:cstheme="minorHAnsi"/>
                <w:color w:val="000000"/>
                <w:lang w:eastAsia="en-GB"/>
              </w:rPr>
              <w:t>,</w:t>
            </w:r>
            <w:r w:rsidRPr="0035026D">
              <w:rPr>
                <w:rFonts w:eastAsia="Times New Roman" w:cstheme="minorHAnsi"/>
                <w:color w:val="000000"/>
                <w:lang w:eastAsia="en-GB"/>
              </w:rPr>
              <w:t>739</w:t>
            </w:r>
          </w:p>
        </w:tc>
        <w:tc>
          <w:tcPr>
            <w:tcW w:w="1226" w:type="dxa"/>
            <w:vAlign w:val="center"/>
            <w:hideMark/>
          </w:tcPr>
          <w:p w14:paraId="6217A57C" w14:textId="00DE0EB3" w:rsidR="00A201CA" w:rsidRDefault="00A201CA" w:rsidP="00A201C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color w:val="000000"/>
              </w:rPr>
              <w:t>8.57%</w:t>
            </w:r>
          </w:p>
        </w:tc>
      </w:tr>
      <w:tr w:rsidR="00A201CA" w14:paraId="5B58DC5C" w14:textId="77777777" w:rsidTr="0050497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34CDD373" w14:textId="77777777" w:rsidR="00A201CA" w:rsidRDefault="00A201CA" w:rsidP="00A201CA">
            <w:pPr>
              <w:rPr>
                <w:rFonts w:eastAsia="Times New Roman" w:cstheme="minorHAnsi"/>
                <w:color w:val="000000"/>
                <w:lang w:eastAsia="en-GB"/>
              </w:rPr>
            </w:pPr>
            <w:r>
              <w:rPr>
                <w:rFonts w:ascii="Calibri" w:hAnsi="Calibri" w:cs="Calibri"/>
                <w:color w:val="000000"/>
              </w:rPr>
              <w:t xml:space="preserve"> Gross Value Added of Industry (NACEs B-F) </w:t>
            </w:r>
          </w:p>
        </w:tc>
        <w:tc>
          <w:tcPr>
            <w:tcW w:w="1048" w:type="dxa"/>
            <w:hideMark/>
          </w:tcPr>
          <w:p w14:paraId="5735A04B" w14:textId="77777777"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€000</w:t>
            </w:r>
          </w:p>
        </w:tc>
        <w:tc>
          <w:tcPr>
            <w:tcW w:w="1504" w:type="dxa"/>
            <w:noWrap/>
            <w:hideMark/>
          </w:tcPr>
          <w:p w14:paraId="3F533BF5" w14:textId="00E2FA15" w:rsidR="00A201CA" w:rsidRDefault="00A201CA" w:rsidP="00A201CA">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Pr>
                <w:rFonts w:eastAsia="Times New Roman" w:cstheme="minorHAnsi"/>
                <w:color w:val="000000"/>
                <w:lang w:eastAsia="en-GB"/>
              </w:rPr>
              <w:t>1,3</w:t>
            </w:r>
            <w:r w:rsidR="00813E50">
              <w:rPr>
                <w:rFonts w:eastAsia="Times New Roman" w:cstheme="minorHAnsi"/>
                <w:color w:val="000000"/>
                <w:lang w:eastAsia="en-GB"/>
              </w:rPr>
              <w:t>80</w:t>
            </w:r>
            <w:r>
              <w:rPr>
                <w:rFonts w:eastAsia="Times New Roman" w:cstheme="minorHAnsi"/>
                <w:color w:val="000000"/>
                <w:lang w:eastAsia="en-GB"/>
              </w:rPr>
              <w:t>,</w:t>
            </w:r>
            <w:r w:rsidR="00813E50">
              <w:rPr>
                <w:rFonts w:eastAsia="Times New Roman" w:cstheme="minorHAnsi"/>
                <w:color w:val="000000"/>
                <w:lang w:eastAsia="en-GB"/>
              </w:rPr>
              <w:t>000</w:t>
            </w:r>
          </w:p>
        </w:tc>
        <w:tc>
          <w:tcPr>
            <w:tcW w:w="1336" w:type="dxa"/>
            <w:noWrap/>
            <w:hideMark/>
          </w:tcPr>
          <w:p w14:paraId="772FF041" w14:textId="1EA09D05" w:rsidR="00A201CA" w:rsidRDefault="00A201CA" w:rsidP="00A201CA">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n-GB"/>
              </w:rPr>
            </w:pPr>
            <w:r>
              <w:rPr>
                <w:rFonts w:eastAsia="Times New Roman" w:cstheme="minorHAnsi"/>
                <w:color w:val="000000"/>
                <w:lang w:eastAsia="en-GB"/>
              </w:rPr>
              <w:t>1,503,</w:t>
            </w:r>
            <w:r w:rsidR="00813E50">
              <w:rPr>
                <w:rFonts w:eastAsia="Times New Roman" w:cstheme="minorHAnsi"/>
                <w:color w:val="000000"/>
                <w:lang w:eastAsia="en-GB"/>
              </w:rPr>
              <w:t>500</w:t>
            </w:r>
          </w:p>
        </w:tc>
        <w:tc>
          <w:tcPr>
            <w:tcW w:w="1226" w:type="dxa"/>
            <w:vAlign w:val="center"/>
            <w:hideMark/>
          </w:tcPr>
          <w:p w14:paraId="0520EE0B" w14:textId="12B494CC" w:rsidR="00A201CA" w:rsidRDefault="00A73CEE" w:rsidP="00A201C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color w:val="000000"/>
              </w:rPr>
              <w:t>8.9</w:t>
            </w:r>
            <w:r w:rsidR="00A201CA">
              <w:rPr>
                <w:rFonts w:ascii="Calibri" w:hAnsi="Calibri" w:cs="Calibri"/>
                <w:color w:val="000000"/>
              </w:rPr>
              <w:t>%</w:t>
            </w:r>
          </w:p>
        </w:tc>
      </w:tr>
      <w:tr w:rsidR="00A201CA" w14:paraId="52E88FA0" w14:textId="77777777" w:rsidTr="0050497C">
        <w:trPr>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7B0A9062" w14:textId="77777777" w:rsidR="00A201CA" w:rsidRDefault="00A201CA" w:rsidP="00A201CA">
            <w:pPr>
              <w:ind w:right="-246"/>
              <w:contextualSpacing/>
              <w:rPr>
                <w:rFonts w:ascii="Calibri" w:hAnsi="Calibri" w:cs="Calibri"/>
                <w:b w:val="0"/>
                <w:bCs w:val="0"/>
                <w:color w:val="000000"/>
              </w:rPr>
            </w:pPr>
            <w:r>
              <w:rPr>
                <w:rFonts w:ascii="Calibri" w:hAnsi="Calibri" w:cs="Calibri"/>
                <w:color w:val="000000"/>
              </w:rPr>
              <w:t xml:space="preserve"> Gross Value Added of Services Sector </w:t>
            </w:r>
          </w:p>
          <w:p w14:paraId="5F51ED12" w14:textId="77777777" w:rsidR="00A201CA" w:rsidRDefault="00A201CA" w:rsidP="00A201CA">
            <w:pPr>
              <w:ind w:right="-246"/>
              <w:contextualSpacing/>
              <w:rPr>
                <w:rFonts w:eastAsia="Times New Roman" w:cstheme="minorHAnsi"/>
                <w:color w:val="000000"/>
                <w:lang w:eastAsia="en-GB"/>
              </w:rPr>
            </w:pPr>
            <w:r>
              <w:rPr>
                <w:rFonts w:ascii="Calibri" w:hAnsi="Calibri" w:cs="Calibri"/>
                <w:color w:val="000000"/>
              </w:rPr>
              <w:t xml:space="preserve">(NACEs G-U) </w:t>
            </w:r>
          </w:p>
        </w:tc>
        <w:tc>
          <w:tcPr>
            <w:tcW w:w="1048" w:type="dxa"/>
            <w:vAlign w:val="center"/>
            <w:hideMark/>
          </w:tcPr>
          <w:p w14:paraId="6500B3EA" w14:textId="77777777" w:rsidR="00A201CA" w:rsidRDefault="00A201CA" w:rsidP="005049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€000</w:t>
            </w:r>
          </w:p>
        </w:tc>
        <w:tc>
          <w:tcPr>
            <w:tcW w:w="1504" w:type="dxa"/>
            <w:noWrap/>
            <w:vAlign w:val="center"/>
            <w:hideMark/>
          </w:tcPr>
          <w:p w14:paraId="6702F2D2" w14:textId="55ED0128" w:rsidR="00A201CA" w:rsidRDefault="00A201CA" w:rsidP="0050497C">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Pr>
                <w:rFonts w:ascii="Calibri" w:hAnsi="Calibri" w:cs="Calibri"/>
                <w:color w:val="000000"/>
              </w:rPr>
              <w:t>8,5</w:t>
            </w:r>
            <w:r w:rsidR="00A73CEE">
              <w:rPr>
                <w:rFonts w:ascii="Calibri" w:hAnsi="Calibri" w:cs="Calibri"/>
                <w:color w:val="000000"/>
              </w:rPr>
              <w:t>54</w:t>
            </w:r>
            <w:r>
              <w:rPr>
                <w:rFonts w:ascii="Calibri" w:hAnsi="Calibri" w:cs="Calibri"/>
                <w:color w:val="000000"/>
              </w:rPr>
              <w:t>,7</w:t>
            </w:r>
            <w:r w:rsidR="00A73CEE">
              <w:rPr>
                <w:rFonts w:ascii="Calibri" w:hAnsi="Calibri" w:cs="Calibri"/>
                <w:color w:val="000000"/>
              </w:rPr>
              <w:t>00</w:t>
            </w:r>
          </w:p>
        </w:tc>
        <w:tc>
          <w:tcPr>
            <w:tcW w:w="1336" w:type="dxa"/>
            <w:noWrap/>
            <w:vAlign w:val="center"/>
            <w:hideMark/>
          </w:tcPr>
          <w:p w14:paraId="772A41D2" w14:textId="6C4525C0" w:rsidR="00A201CA" w:rsidRDefault="00A201CA" w:rsidP="0050497C">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Pr>
                <w:rFonts w:eastAsia="Times New Roman" w:cstheme="minorHAnsi"/>
                <w:color w:val="000000"/>
                <w:lang w:eastAsia="en-GB"/>
              </w:rPr>
              <w:t>9,2</w:t>
            </w:r>
            <w:r w:rsidR="00A73CEE">
              <w:rPr>
                <w:rFonts w:eastAsia="Times New Roman" w:cstheme="minorHAnsi"/>
                <w:color w:val="000000"/>
                <w:lang w:eastAsia="en-GB"/>
              </w:rPr>
              <w:t>9</w:t>
            </w:r>
            <w:r>
              <w:rPr>
                <w:rFonts w:eastAsia="Times New Roman" w:cstheme="minorHAnsi"/>
                <w:color w:val="000000"/>
                <w:lang w:eastAsia="en-GB"/>
              </w:rPr>
              <w:t>6,</w:t>
            </w:r>
            <w:r w:rsidR="00A73CEE">
              <w:rPr>
                <w:rFonts w:eastAsia="Times New Roman" w:cstheme="minorHAnsi"/>
                <w:color w:val="000000"/>
                <w:lang w:eastAsia="en-GB"/>
              </w:rPr>
              <w:t>900</w:t>
            </w:r>
          </w:p>
        </w:tc>
        <w:tc>
          <w:tcPr>
            <w:tcW w:w="1226" w:type="dxa"/>
            <w:vAlign w:val="center"/>
            <w:hideMark/>
          </w:tcPr>
          <w:p w14:paraId="2B2C05D5" w14:textId="33C623EC" w:rsidR="00A201CA" w:rsidRDefault="00A201CA" w:rsidP="0050497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color w:val="000000"/>
              </w:rPr>
              <w:t>8.</w:t>
            </w:r>
            <w:r w:rsidR="00A73CEE">
              <w:rPr>
                <w:rFonts w:ascii="Calibri" w:hAnsi="Calibri" w:cs="Calibri"/>
                <w:color w:val="000000"/>
              </w:rPr>
              <w:t>7</w:t>
            </w:r>
            <w:r>
              <w:rPr>
                <w:rFonts w:ascii="Calibri" w:hAnsi="Calibri" w:cs="Calibri"/>
                <w:color w:val="000000"/>
              </w:rPr>
              <w:t>%</w:t>
            </w:r>
          </w:p>
        </w:tc>
      </w:tr>
      <w:tr w:rsidR="00A201CA" w14:paraId="1A9005FF" w14:textId="77777777" w:rsidTr="0050497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3EDABF66" w14:textId="77777777" w:rsidR="00A201CA" w:rsidRDefault="00A201CA" w:rsidP="00A201CA">
            <w:pPr>
              <w:rPr>
                <w:rFonts w:eastAsia="Times New Roman" w:cstheme="minorHAnsi"/>
                <w:color w:val="000000"/>
                <w:lang w:eastAsia="en-GB"/>
              </w:rPr>
            </w:pPr>
            <w:r>
              <w:rPr>
                <w:rFonts w:ascii="Calibri" w:hAnsi="Calibri" w:cs="Calibri"/>
                <w:color w:val="000000"/>
              </w:rPr>
              <w:t xml:space="preserve"> Number of Vehicles (4-quarter average) </w:t>
            </w:r>
          </w:p>
        </w:tc>
        <w:tc>
          <w:tcPr>
            <w:tcW w:w="1048" w:type="dxa"/>
            <w:hideMark/>
          </w:tcPr>
          <w:p w14:paraId="68ED7076" w14:textId="77777777"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Number</w:t>
            </w:r>
          </w:p>
        </w:tc>
        <w:tc>
          <w:tcPr>
            <w:tcW w:w="1504" w:type="dxa"/>
            <w:noWrap/>
            <w:hideMark/>
          </w:tcPr>
          <w:p w14:paraId="780058D9" w14:textId="3B2A6588" w:rsidR="00A201CA" w:rsidRDefault="00A201CA" w:rsidP="00A201CA">
            <w:pPr>
              <w:jc w:val="right"/>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color w:val="000000"/>
              </w:rPr>
              <w:t>367,089</w:t>
            </w:r>
          </w:p>
        </w:tc>
        <w:tc>
          <w:tcPr>
            <w:tcW w:w="1336" w:type="dxa"/>
            <w:noWrap/>
            <w:hideMark/>
          </w:tcPr>
          <w:p w14:paraId="405D71F2" w14:textId="1E72CE1F" w:rsidR="00A201CA" w:rsidRDefault="00A201CA" w:rsidP="00A201CA">
            <w:pPr>
              <w:jc w:val="right"/>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380,578</w:t>
            </w:r>
          </w:p>
        </w:tc>
        <w:tc>
          <w:tcPr>
            <w:tcW w:w="1226" w:type="dxa"/>
            <w:vAlign w:val="center"/>
            <w:hideMark/>
          </w:tcPr>
          <w:p w14:paraId="5BE92728" w14:textId="2590D45F"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color w:val="000000"/>
              </w:rPr>
              <w:t>3.67%</w:t>
            </w:r>
          </w:p>
        </w:tc>
      </w:tr>
      <w:tr w:rsidR="00A201CA" w14:paraId="7D183BD1" w14:textId="77777777" w:rsidTr="0050497C">
        <w:trPr>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2242C0A9" w14:textId="77777777" w:rsidR="00A201CA" w:rsidRDefault="00A201CA" w:rsidP="00A201CA">
            <w:pPr>
              <w:rPr>
                <w:rFonts w:eastAsia="Times New Roman" w:cstheme="minorHAnsi"/>
                <w:color w:val="000000"/>
                <w:lang w:eastAsia="en-GB"/>
              </w:rPr>
            </w:pPr>
            <w:r>
              <w:rPr>
                <w:rFonts w:ascii="Calibri" w:hAnsi="Calibri" w:cs="Calibri"/>
                <w:color w:val="000000"/>
              </w:rPr>
              <w:t xml:space="preserve"> Total Aircraft Movements through MIA </w:t>
            </w:r>
          </w:p>
        </w:tc>
        <w:tc>
          <w:tcPr>
            <w:tcW w:w="1048" w:type="dxa"/>
            <w:hideMark/>
          </w:tcPr>
          <w:p w14:paraId="75E5CFA2" w14:textId="77777777" w:rsidR="00A201CA" w:rsidRDefault="00A201CA" w:rsidP="00A201CA">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Number</w:t>
            </w:r>
          </w:p>
        </w:tc>
        <w:tc>
          <w:tcPr>
            <w:tcW w:w="1504" w:type="dxa"/>
            <w:noWrap/>
            <w:hideMark/>
          </w:tcPr>
          <w:p w14:paraId="0C5B7B8E" w14:textId="5C7FC4B4" w:rsidR="00A201CA" w:rsidRDefault="00A201CA" w:rsidP="00A201CA">
            <w:pPr>
              <w:jc w:val="right"/>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color w:val="000000"/>
              </w:rPr>
              <w:t>42,987</w:t>
            </w:r>
          </w:p>
        </w:tc>
        <w:tc>
          <w:tcPr>
            <w:tcW w:w="1336" w:type="dxa"/>
            <w:noWrap/>
            <w:hideMark/>
          </w:tcPr>
          <w:p w14:paraId="2C9FBA3F" w14:textId="72E89AD8" w:rsidR="00A201CA" w:rsidRDefault="00A201CA" w:rsidP="00A201CA">
            <w:pPr>
              <w:jc w:val="right"/>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48,737</w:t>
            </w:r>
          </w:p>
        </w:tc>
        <w:tc>
          <w:tcPr>
            <w:tcW w:w="1226" w:type="dxa"/>
            <w:vAlign w:val="center"/>
            <w:hideMark/>
          </w:tcPr>
          <w:p w14:paraId="06B8DD8E" w14:textId="402FF7E2" w:rsidR="00A201CA" w:rsidRDefault="00A201CA" w:rsidP="00A201C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13.38%</w:t>
            </w:r>
          </w:p>
        </w:tc>
      </w:tr>
      <w:tr w:rsidR="00A201CA" w14:paraId="53E41CD1" w14:textId="77777777" w:rsidTr="0050497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25BBB9B6" w14:textId="77777777" w:rsidR="00A201CA" w:rsidRDefault="00A201CA" w:rsidP="00A201CA">
            <w:pPr>
              <w:rPr>
                <w:rFonts w:eastAsia="Times New Roman" w:cstheme="minorHAnsi"/>
                <w:color w:val="000000"/>
                <w:lang w:eastAsia="en-GB"/>
              </w:rPr>
            </w:pPr>
            <w:r>
              <w:rPr>
                <w:rFonts w:ascii="Calibri" w:hAnsi="Calibri" w:cs="Calibri"/>
                <w:color w:val="000000"/>
              </w:rPr>
              <w:t xml:space="preserve"> Tourists Arrivals </w:t>
            </w:r>
          </w:p>
        </w:tc>
        <w:tc>
          <w:tcPr>
            <w:tcW w:w="1048" w:type="dxa"/>
            <w:hideMark/>
          </w:tcPr>
          <w:p w14:paraId="2DD04D77" w14:textId="77777777"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20"/>
                <w:lang w:eastAsia="en-GB"/>
              </w:rPr>
            </w:pPr>
            <w:r>
              <w:rPr>
                <w:rFonts w:ascii="Calibri" w:hAnsi="Calibri" w:cs="Calibri"/>
                <w:color w:val="000000"/>
                <w:sz w:val="20"/>
                <w:szCs w:val="20"/>
              </w:rPr>
              <w:t>Number</w:t>
            </w:r>
          </w:p>
        </w:tc>
        <w:tc>
          <w:tcPr>
            <w:tcW w:w="1504" w:type="dxa"/>
            <w:noWrap/>
            <w:hideMark/>
          </w:tcPr>
          <w:p w14:paraId="2B38999C" w14:textId="53D86049" w:rsidR="00A201CA" w:rsidRDefault="00A201CA" w:rsidP="00A201CA">
            <w:pPr>
              <w:jc w:val="right"/>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color w:val="000000"/>
              </w:rPr>
              <w:t>2,273,837</w:t>
            </w:r>
          </w:p>
        </w:tc>
        <w:tc>
          <w:tcPr>
            <w:tcW w:w="1336" w:type="dxa"/>
            <w:noWrap/>
            <w:hideMark/>
          </w:tcPr>
          <w:p w14:paraId="3569C52C" w14:textId="65E7F3D4" w:rsidR="00A201CA" w:rsidRDefault="00A201CA" w:rsidP="0050497C">
            <w:pPr>
              <w:tabs>
                <w:tab w:val="left" w:pos="558"/>
              </w:tabs>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A201CA">
              <w:rPr>
                <w:rFonts w:ascii="Calibri" w:hAnsi="Calibri" w:cs="Calibri"/>
              </w:rPr>
              <w:t>2</w:t>
            </w:r>
            <w:r>
              <w:rPr>
                <w:rFonts w:ascii="Calibri" w:hAnsi="Calibri" w:cs="Calibri"/>
              </w:rPr>
              <w:t>,</w:t>
            </w:r>
            <w:r w:rsidRPr="00A201CA">
              <w:rPr>
                <w:rFonts w:ascii="Calibri" w:hAnsi="Calibri" w:cs="Calibri"/>
              </w:rPr>
              <w:t>598</w:t>
            </w:r>
            <w:r>
              <w:rPr>
                <w:rFonts w:ascii="Calibri" w:hAnsi="Calibri" w:cs="Calibri"/>
              </w:rPr>
              <w:t>,</w:t>
            </w:r>
            <w:r w:rsidRPr="00A201CA">
              <w:rPr>
                <w:rFonts w:ascii="Calibri" w:hAnsi="Calibri" w:cs="Calibri"/>
              </w:rPr>
              <w:t>6</w:t>
            </w:r>
            <w:r>
              <w:rPr>
                <w:rFonts w:ascii="Calibri" w:hAnsi="Calibri" w:cs="Calibri"/>
              </w:rPr>
              <w:t>90</w:t>
            </w:r>
          </w:p>
        </w:tc>
        <w:tc>
          <w:tcPr>
            <w:tcW w:w="1226" w:type="dxa"/>
            <w:vAlign w:val="center"/>
            <w:hideMark/>
          </w:tcPr>
          <w:p w14:paraId="35BDF81C" w14:textId="0B457BDC" w:rsidR="00A201CA" w:rsidRDefault="00A201CA" w:rsidP="00A201C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color w:val="000000"/>
              </w:rPr>
              <w:t>14.29%</w:t>
            </w:r>
          </w:p>
        </w:tc>
      </w:tr>
      <w:tr w:rsidR="00A201CA" w14:paraId="2F703DEA" w14:textId="77777777" w:rsidTr="0050497C">
        <w:trPr>
          <w:trHeight w:val="283"/>
        </w:trPr>
        <w:tc>
          <w:tcPr>
            <w:cnfStyle w:val="001000000000" w:firstRow="0" w:lastRow="0" w:firstColumn="1" w:lastColumn="0" w:oddVBand="0" w:evenVBand="0" w:oddHBand="0" w:evenHBand="0" w:firstRowFirstColumn="0" w:firstRowLastColumn="0" w:lastRowFirstColumn="0" w:lastRowLastColumn="0"/>
            <w:tcW w:w="4531" w:type="dxa"/>
            <w:noWrap/>
            <w:hideMark/>
          </w:tcPr>
          <w:p w14:paraId="7132652D" w14:textId="77777777" w:rsidR="00A201CA" w:rsidRDefault="00A201CA" w:rsidP="00A201CA">
            <w:pPr>
              <w:rPr>
                <w:rFonts w:ascii="Calibri" w:hAnsi="Calibri" w:cs="Calibri"/>
                <w:color w:val="000000"/>
              </w:rPr>
            </w:pPr>
            <w:r>
              <w:rPr>
                <w:rFonts w:ascii="Calibri" w:hAnsi="Calibri" w:cs="Calibri"/>
                <w:color w:val="000000"/>
              </w:rPr>
              <w:t xml:space="preserve"> Total Cargo Movements through MIA </w:t>
            </w:r>
          </w:p>
        </w:tc>
        <w:tc>
          <w:tcPr>
            <w:tcW w:w="1048" w:type="dxa"/>
            <w:hideMark/>
          </w:tcPr>
          <w:p w14:paraId="356054BA" w14:textId="77777777" w:rsidR="00A201CA" w:rsidRDefault="00A201CA" w:rsidP="00A201C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tonnes</w:t>
            </w:r>
          </w:p>
        </w:tc>
        <w:tc>
          <w:tcPr>
            <w:tcW w:w="1504" w:type="dxa"/>
            <w:noWrap/>
            <w:hideMark/>
          </w:tcPr>
          <w:p w14:paraId="4B9F3445" w14:textId="0706B5F2" w:rsidR="00A201CA" w:rsidRDefault="00A201CA" w:rsidP="00A201CA">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16,177</w:t>
            </w:r>
          </w:p>
        </w:tc>
        <w:tc>
          <w:tcPr>
            <w:tcW w:w="1336" w:type="dxa"/>
            <w:noWrap/>
            <w:hideMark/>
          </w:tcPr>
          <w:p w14:paraId="35A50698" w14:textId="60463CD8" w:rsidR="00A201CA" w:rsidRDefault="00A201CA" w:rsidP="0050497C">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17,684</w:t>
            </w:r>
          </w:p>
        </w:tc>
        <w:tc>
          <w:tcPr>
            <w:tcW w:w="1226" w:type="dxa"/>
            <w:vAlign w:val="center"/>
            <w:hideMark/>
          </w:tcPr>
          <w:p w14:paraId="16FAD2A8" w14:textId="03AD69D6" w:rsidR="00A201CA" w:rsidRDefault="00A201CA" w:rsidP="00A201C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rPr>
              <w:t>9.32%</w:t>
            </w:r>
          </w:p>
        </w:tc>
      </w:tr>
    </w:tbl>
    <w:p w14:paraId="00040D68" w14:textId="6AC5D012" w:rsidR="00A45775" w:rsidRPr="00943031" w:rsidRDefault="00A45775" w:rsidP="00A45775">
      <w:pPr>
        <w:jc w:val="both"/>
        <w:rPr>
          <w:rFonts w:cstheme="minorHAnsi"/>
          <w:sz w:val="18"/>
          <w:szCs w:val="20"/>
          <w:lang w:val="it-IT"/>
        </w:rPr>
      </w:pPr>
      <w:r w:rsidRPr="00943031">
        <w:rPr>
          <w:rFonts w:cstheme="minorHAnsi"/>
          <w:sz w:val="18"/>
          <w:szCs w:val="20"/>
          <w:lang w:val="it-IT"/>
        </w:rPr>
        <w:t xml:space="preserve">Source: </w:t>
      </w:r>
      <w:r w:rsidR="00506BAB" w:rsidRPr="00943031">
        <w:rPr>
          <w:rFonts w:cstheme="minorHAnsi"/>
          <w:sz w:val="18"/>
          <w:szCs w:val="20"/>
          <w:lang w:val="it-IT"/>
        </w:rPr>
        <w:t xml:space="preserve">Eurostat, </w:t>
      </w:r>
      <w:r w:rsidRPr="00943031">
        <w:rPr>
          <w:rFonts w:cstheme="minorHAnsi"/>
          <w:sz w:val="18"/>
          <w:szCs w:val="20"/>
          <w:lang w:val="it-IT"/>
        </w:rPr>
        <w:t>NSO; Malta International Airport (MIA)</w:t>
      </w:r>
    </w:p>
    <w:p w14:paraId="7E81746F" w14:textId="32DB2A92" w:rsidR="005850A8" w:rsidRDefault="003C0020" w:rsidP="00A45775">
      <w:pPr>
        <w:jc w:val="both"/>
        <w:rPr>
          <w:rFonts w:cstheme="minorHAnsi"/>
        </w:rPr>
      </w:pPr>
      <w:r w:rsidRPr="00532C30">
        <w:rPr>
          <w:rFonts w:cstheme="minorHAnsi"/>
        </w:rPr>
        <w:lastRenderedPageBreak/>
        <w:t>Out of the 1</w:t>
      </w:r>
      <w:r w:rsidR="00532C30" w:rsidRPr="00532C30">
        <w:rPr>
          <w:rFonts w:cstheme="minorHAnsi"/>
        </w:rPr>
        <w:t>.8</w:t>
      </w:r>
      <w:r w:rsidRPr="00532C30">
        <w:rPr>
          <w:rFonts w:cstheme="minorHAnsi"/>
        </w:rPr>
        <w:t xml:space="preserve">% increase in primary energy consumption, </w:t>
      </w:r>
      <w:r w:rsidR="00532C30" w:rsidRPr="00532C30">
        <w:rPr>
          <w:rFonts w:cstheme="minorHAnsi"/>
        </w:rPr>
        <w:t>0.4</w:t>
      </w:r>
      <w:r w:rsidRPr="00532C30">
        <w:rPr>
          <w:rFonts w:cstheme="minorHAnsi"/>
        </w:rPr>
        <w:t xml:space="preserve"> percentage points are due to an increase in primary energy used for the supply of electricity. The energy included under this purpose consists of fuels used for transformation, net electricity imports and electricity generation from renewable sources. The remaining </w:t>
      </w:r>
      <w:r w:rsidR="00532C30" w:rsidRPr="00532C30">
        <w:rPr>
          <w:rFonts w:cstheme="minorHAnsi"/>
        </w:rPr>
        <w:t>1.</w:t>
      </w:r>
      <w:r w:rsidR="00480D7F">
        <w:rPr>
          <w:rFonts w:cstheme="minorHAnsi"/>
        </w:rPr>
        <w:t>4</w:t>
      </w:r>
      <w:r w:rsidR="00480D7F" w:rsidRPr="00532C30">
        <w:rPr>
          <w:rFonts w:cstheme="minorHAnsi"/>
        </w:rPr>
        <w:t xml:space="preserve"> </w:t>
      </w:r>
      <w:r w:rsidRPr="00532C30">
        <w:rPr>
          <w:rFonts w:cstheme="minorHAnsi"/>
        </w:rPr>
        <w:t xml:space="preserve">percentage point increase in primary energy is due to growth in the national consumption of all other liquid fuels. </w:t>
      </w:r>
    </w:p>
    <w:p w14:paraId="4F504033" w14:textId="6DBCF972" w:rsidR="00A45775" w:rsidRDefault="00A45775" w:rsidP="00A45775">
      <w:pPr>
        <w:jc w:val="both"/>
        <w:rPr>
          <w:rFonts w:cstheme="minorHAnsi"/>
        </w:rPr>
      </w:pPr>
      <w:r w:rsidRPr="00B65D50">
        <w:rPr>
          <w:rFonts w:cstheme="minorHAnsi"/>
        </w:rPr>
        <w:t xml:space="preserve">To better understand the growth in primary and final energy consumption resulting from the increase in electricity consumption, the latter is broken-down into consumption by end-user as shown in </w:t>
      </w:r>
      <w:r w:rsidR="00604E21">
        <w:rPr>
          <w:rFonts w:cstheme="minorHAnsi"/>
        </w:rPr>
        <w:t>4</w:t>
      </w:r>
      <w:r w:rsidRPr="00B65D50">
        <w:rPr>
          <w:rFonts w:cstheme="minorHAnsi"/>
        </w:rPr>
        <w:t xml:space="preserve"> below.</w:t>
      </w:r>
      <w:r>
        <w:rPr>
          <w:rFonts w:cstheme="minorHAnsi"/>
        </w:rPr>
        <w:t xml:space="preserve"> </w:t>
      </w:r>
    </w:p>
    <w:p w14:paraId="54BBBCDE" w14:textId="77777777" w:rsidR="00CF23FE" w:rsidRDefault="00CF23FE" w:rsidP="007946E7">
      <w:pPr>
        <w:spacing w:line="240" w:lineRule="auto"/>
        <w:jc w:val="both"/>
        <w:rPr>
          <w:rFonts w:cstheme="minorHAnsi"/>
        </w:rPr>
      </w:pPr>
    </w:p>
    <w:p w14:paraId="41497068" w14:textId="60C37CCD" w:rsidR="00A45775" w:rsidRPr="003E303C" w:rsidRDefault="00A45775" w:rsidP="003E303C">
      <w:pPr>
        <w:pStyle w:val="Caption"/>
        <w:keepNext/>
      </w:pPr>
      <w:bookmarkStart w:id="6" w:name="_Ref5637703"/>
      <w:r w:rsidRPr="003E303C">
        <w:t xml:space="preserve">Table </w:t>
      </w:r>
      <w:bookmarkEnd w:id="6"/>
      <w:r w:rsidR="00604E21">
        <w:t>4</w:t>
      </w:r>
      <w:r w:rsidRPr="003E303C">
        <w:t xml:space="preserve">. </w:t>
      </w:r>
      <w:r w:rsidRPr="007C190C">
        <w:t>Changes in the</w:t>
      </w:r>
      <w:r w:rsidRPr="003E303C">
        <w:t xml:space="preserve"> </w:t>
      </w:r>
      <w:r w:rsidRPr="007C190C">
        <w:t>final electricity used by sectors in 201</w:t>
      </w:r>
      <w:r w:rsidR="004E0F89">
        <w:t>8</w:t>
      </w:r>
      <w:r w:rsidRPr="007C190C">
        <w:t xml:space="preserve"> from 201</w:t>
      </w:r>
      <w:r w:rsidR="004E0F89">
        <w:t>7</w:t>
      </w:r>
      <w:r w:rsidRPr="007C190C">
        <w:t xml:space="preserve"> levels</w:t>
      </w:r>
    </w:p>
    <w:tbl>
      <w:tblPr>
        <w:tblW w:w="90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902"/>
        <w:gridCol w:w="1278"/>
        <w:gridCol w:w="1278"/>
        <w:gridCol w:w="1278"/>
        <w:gridCol w:w="1279"/>
      </w:tblGrid>
      <w:tr w:rsidR="00A45775" w14:paraId="1CDC4AA8" w14:textId="77777777" w:rsidTr="008827CE">
        <w:trPr>
          <w:trHeight w:val="315"/>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noWrap/>
            <w:vAlign w:val="center"/>
            <w:hideMark/>
          </w:tcPr>
          <w:p w14:paraId="396A24DE" w14:textId="77777777" w:rsidR="00A45775" w:rsidRDefault="00A45775">
            <w:pPr>
              <w:spacing w:line="240" w:lineRule="auto"/>
              <w:jc w:val="center"/>
              <w:rPr>
                <w:rFonts w:eastAsia="Times New Roman" w:cstheme="minorHAnsi"/>
                <w:b/>
                <w:bCs/>
                <w:color w:val="000000"/>
                <w:lang w:eastAsia="en-GB"/>
              </w:rPr>
            </w:pPr>
            <w:r>
              <w:rPr>
                <w:rFonts w:eastAsia="Times New Roman" w:cstheme="minorHAnsi"/>
                <w:b/>
                <w:bCs/>
                <w:color w:val="000000"/>
                <w:lang w:eastAsia="en-GB"/>
              </w:rPr>
              <w:t>Indicators</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8151F62" w14:textId="56CC77CE" w:rsidR="00A45775" w:rsidRDefault="00A45775">
            <w:pPr>
              <w:spacing w:line="240" w:lineRule="auto"/>
              <w:jc w:val="center"/>
              <w:rPr>
                <w:rFonts w:eastAsia="Times New Roman" w:cstheme="minorHAnsi"/>
                <w:b/>
                <w:bCs/>
                <w:color w:val="000000"/>
                <w:lang w:eastAsia="en-GB"/>
              </w:rPr>
            </w:pPr>
            <w:r>
              <w:rPr>
                <w:rFonts w:eastAsia="Times New Roman" w:cstheme="minorHAnsi"/>
                <w:b/>
                <w:bCs/>
                <w:color w:val="000000"/>
                <w:lang w:eastAsia="en-GB"/>
              </w:rPr>
              <w:t>201</w:t>
            </w:r>
            <w:r w:rsidR="008D719A">
              <w:rPr>
                <w:rFonts w:eastAsia="Times New Roman" w:cstheme="minorHAnsi"/>
                <w:b/>
                <w:bCs/>
                <w:color w:val="000000"/>
                <w:lang w:eastAsia="en-GB"/>
              </w:rPr>
              <w:t>7</w:t>
            </w:r>
            <w:r>
              <w:rPr>
                <w:rFonts w:eastAsia="Times New Roman" w:cstheme="minorHAnsi"/>
                <w:b/>
                <w:bCs/>
                <w:color w:val="000000"/>
                <w:lang w:eastAsia="en-GB"/>
              </w:rPr>
              <w:t xml:space="preserve"> Level</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D61B810" w14:textId="7D1CECC7" w:rsidR="00A45775" w:rsidRDefault="00A45775">
            <w:pPr>
              <w:spacing w:line="240" w:lineRule="auto"/>
              <w:jc w:val="center"/>
              <w:rPr>
                <w:rFonts w:eastAsia="Times New Roman" w:cstheme="minorHAnsi"/>
                <w:b/>
                <w:bCs/>
                <w:color w:val="000000"/>
                <w:lang w:eastAsia="en-GB"/>
              </w:rPr>
            </w:pPr>
            <w:r>
              <w:rPr>
                <w:rFonts w:eastAsia="Times New Roman" w:cstheme="minorHAnsi"/>
                <w:b/>
                <w:bCs/>
                <w:color w:val="000000"/>
                <w:lang w:eastAsia="en-GB"/>
              </w:rPr>
              <w:t>201</w:t>
            </w:r>
            <w:r w:rsidR="008D719A">
              <w:rPr>
                <w:rFonts w:eastAsia="Times New Roman" w:cstheme="minorHAnsi"/>
                <w:b/>
                <w:bCs/>
                <w:color w:val="000000"/>
                <w:lang w:eastAsia="en-GB"/>
              </w:rPr>
              <w:t>8</w:t>
            </w:r>
            <w:r>
              <w:rPr>
                <w:rFonts w:eastAsia="Times New Roman" w:cstheme="minorHAnsi"/>
                <w:b/>
                <w:bCs/>
                <w:color w:val="000000"/>
                <w:lang w:eastAsia="en-GB"/>
              </w:rPr>
              <w:t xml:space="preserve"> Level</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8DEFFE6" w14:textId="7F3B8AE9" w:rsidR="00A45775" w:rsidRDefault="00A45775">
            <w:pPr>
              <w:spacing w:line="240" w:lineRule="auto"/>
              <w:jc w:val="center"/>
              <w:rPr>
                <w:rFonts w:eastAsia="Times New Roman" w:cstheme="minorHAnsi"/>
                <w:b/>
                <w:bCs/>
                <w:color w:val="000000"/>
                <w:lang w:eastAsia="en-GB"/>
              </w:rPr>
            </w:pPr>
            <w:r>
              <w:rPr>
                <w:rFonts w:eastAsia="Times New Roman" w:cstheme="minorHAnsi"/>
                <w:b/>
                <w:bCs/>
                <w:color w:val="000000"/>
                <w:lang w:eastAsia="en-GB"/>
              </w:rPr>
              <w:t>201</w:t>
            </w:r>
            <w:r w:rsidR="008D719A">
              <w:rPr>
                <w:rFonts w:eastAsia="Times New Roman" w:cstheme="minorHAnsi"/>
                <w:b/>
                <w:bCs/>
                <w:color w:val="000000"/>
                <w:lang w:eastAsia="en-GB"/>
              </w:rPr>
              <w:t>8</w:t>
            </w:r>
            <w:r>
              <w:rPr>
                <w:rFonts w:eastAsia="Times New Roman" w:cstheme="minorHAnsi"/>
                <w:b/>
                <w:bCs/>
                <w:color w:val="000000"/>
                <w:lang w:eastAsia="en-GB"/>
              </w:rPr>
              <w:t>-201</w:t>
            </w:r>
            <w:r w:rsidR="008D719A">
              <w:rPr>
                <w:rFonts w:eastAsia="Times New Roman" w:cstheme="minorHAnsi"/>
                <w:b/>
                <w:bCs/>
                <w:color w:val="000000"/>
                <w:lang w:eastAsia="en-GB"/>
              </w:rPr>
              <w:t>7</w:t>
            </w:r>
            <w:r>
              <w:rPr>
                <w:rFonts w:eastAsia="Times New Roman" w:cstheme="minorHAnsi"/>
                <w:b/>
                <w:bCs/>
                <w:color w:val="000000"/>
                <w:lang w:eastAsia="en-GB"/>
              </w:rPr>
              <w:t xml:space="preserve"> Absolute change</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E0BFC56" w14:textId="69E147EB" w:rsidR="00A45775" w:rsidRDefault="00A45775">
            <w:pPr>
              <w:spacing w:line="240" w:lineRule="auto"/>
              <w:jc w:val="center"/>
              <w:rPr>
                <w:rFonts w:eastAsia="Times New Roman" w:cstheme="minorHAnsi"/>
                <w:b/>
                <w:bCs/>
                <w:color w:val="000000"/>
                <w:lang w:eastAsia="en-GB"/>
              </w:rPr>
            </w:pPr>
            <w:r>
              <w:rPr>
                <w:rFonts w:eastAsia="Times New Roman" w:cstheme="minorHAnsi"/>
                <w:b/>
                <w:bCs/>
                <w:color w:val="000000"/>
                <w:lang w:eastAsia="en-GB"/>
              </w:rPr>
              <w:t>201</w:t>
            </w:r>
            <w:r w:rsidR="008D719A">
              <w:rPr>
                <w:rFonts w:eastAsia="Times New Roman" w:cstheme="minorHAnsi"/>
                <w:b/>
                <w:bCs/>
                <w:color w:val="000000"/>
                <w:lang w:eastAsia="en-GB"/>
              </w:rPr>
              <w:t>8</w:t>
            </w:r>
            <w:r>
              <w:rPr>
                <w:rFonts w:eastAsia="Times New Roman" w:cstheme="minorHAnsi"/>
                <w:b/>
                <w:bCs/>
                <w:color w:val="000000"/>
                <w:lang w:eastAsia="en-GB"/>
              </w:rPr>
              <w:t>-201</w:t>
            </w:r>
            <w:r w:rsidR="008D719A">
              <w:rPr>
                <w:rFonts w:eastAsia="Times New Roman" w:cstheme="minorHAnsi"/>
                <w:b/>
                <w:bCs/>
                <w:color w:val="000000"/>
                <w:lang w:eastAsia="en-GB"/>
              </w:rPr>
              <w:t>7</w:t>
            </w:r>
            <w:r>
              <w:rPr>
                <w:rFonts w:eastAsia="Times New Roman" w:cstheme="minorHAnsi"/>
                <w:b/>
                <w:bCs/>
                <w:color w:val="000000"/>
                <w:lang w:eastAsia="en-GB"/>
              </w:rPr>
              <w:t xml:space="preserve"> Percentage Change</w:t>
            </w:r>
          </w:p>
        </w:tc>
      </w:tr>
      <w:tr w:rsidR="00A45775" w14:paraId="4553FE8B"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center"/>
          </w:tcPr>
          <w:p w14:paraId="4A28D996" w14:textId="77777777" w:rsidR="00A45775" w:rsidRDefault="00A45775">
            <w:pPr>
              <w:spacing w:line="240" w:lineRule="auto"/>
              <w:jc w:val="center"/>
              <w:rPr>
                <w:rFonts w:eastAsia="Times New Roman" w:cstheme="minorHAnsi"/>
                <w:b/>
                <w:bCs/>
                <w:color w:val="000000"/>
                <w:lang w:eastAsia="en-GB"/>
              </w:rPr>
            </w:pP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C301F12" w14:textId="77777777" w:rsidR="00A45775" w:rsidRDefault="00A45775">
            <w:pPr>
              <w:spacing w:line="240" w:lineRule="auto"/>
              <w:jc w:val="center"/>
              <w:rPr>
                <w:rFonts w:eastAsia="Times New Roman" w:cstheme="minorHAnsi"/>
                <w:bCs/>
                <w:i/>
                <w:color w:val="000000"/>
                <w:lang w:eastAsia="en-GB"/>
              </w:rPr>
            </w:pPr>
            <w:r>
              <w:rPr>
                <w:rFonts w:eastAsia="Times New Roman" w:cstheme="minorHAnsi"/>
                <w:bCs/>
                <w:i/>
                <w:color w:val="000000"/>
                <w:lang w:eastAsia="en-GB"/>
              </w:rPr>
              <w:t>GWh</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D24A544" w14:textId="77777777" w:rsidR="00A45775" w:rsidRDefault="00A45775">
            <w:pPr>
              <w:spacing w:line="240" w:lineRule="auto"/>
              <w:jc w:val="center"/>
              <w:rPr>
                <w:rFonts w:eastAsia="Times New Roman" w:cstheme="minorHAnsi"/>
                <w:bCs/>
                <w:i/>
                <w:color w:val="000000"/>
                <w:lang w:eastAsia="en-GB"/>
              </w:rPr>
            </w:pPr>
            <w:r>
              <w:rPr>
                <w:rFonts w:eastAsia="Times New Roman" w:cstheme="minorHAnsi"/>
                <w:bCs/>
                <w:i/>
                <w:color w:val="000000"/>
                <w:lang w:eastAsia="en-GB"/>
              </w:rPr>
              <w:t>GWh</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1E51698" w14:textId="0290ECEC" w:rsidR="00A45775" w:rsidRDefault="00A45775">
            <w:pPr>
              <w:spacing w:line="240" w:lineRule="auto"/>
              <w:jc w:val="center"/>
              <w:rPr>
                <w:rFonts w:eastAsia="Times New Roman" w:cstheme="minorHAnsi"/>
                <w:bCs/>
                <w:i/>
                <w:color w:val="000000"/>
                <w:lang w:eastAsia="en-GB"/>
              </w:rPr>
            </w:pP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CA0867B" w14:textId="77777777" w:rsidR="00A45775" w:rsidRDefault="00A45775">
            <w:pPr>
              <w:spacing w:line="240" w:lineRule="auto"/>
              <w:jc w:val="center"/>
              <w:rPr>
                <w:rFonts w:eastAsia="Times New Roman" w:cstheme="minorHAnsi"/>
                <w:bCs/>
                <w:i/>
                <w:color w:val="000000"/>
                <w:lang w:eastAsia="en-GB"/>
              </w:rPr>
            </w:pPr>
            <w:r>
              <w:rPr>
                <w:rFonts w:eastAsia="Times New Roman" w:cstheme="minorHAnsi"/>
                <w:bCs/>
                <w:i/>
                <w:color w:val="000000"/>
                <w:lang w:eastAsia="en-GB"/>
              </w:rPr>
              <w:t>%</w:t>
            </w:r>
          </w:p>
        </w:tc>
      </w:tr>
      <w:tr w:rsidR="008D719A" w14:paraId="493F8823"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center"/>
            <w:hideMark/>
          </w:tcPr>
          <w:p w14:paraId="4258ED84" w14:textId="77777777" w:rsidR="008D719A" w:rsidRDefault="008D719A" w:rsidP="008D719A">
            <w:pPr>
              <w:spacing w:line="240" w:lineRule="auto"/>
              <w:rPr>
                <w:rFonts w:eastAsia="Times New Roman" w:cstheme="minorHAnsi"/>
                <w:color w:val="000000"/>
                <w:lang w:eastAsia="en-GB"/>
              </w:rPr>
            </w:pPr>
            <w:r>
              <w:rPr>
                <w:rFonts w:ascii="Calibri" w:hAnsi="Calibri" w:cs="Calibri"/>
              </w:rPr>
              <w:t>Total final electricity consumption</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89CC4AE" w14:textId="397FF0F9"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2,320</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1323E58" w14:textId="7C4C50C7"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2,390</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F8EAED4" w14:textId="16C3D7B5" w:rsidR="008D719A" w:rsidRDefault="008D719A" w:rsidP="008D719A">
            <w:pPr>
              <w:spacing w:line="240" w:lineRule="auto"/>
              <w:jc w:val="center"/>
              <w:rPr>
                <w:rFonts w:eastAsia="Times New Roman" w:cstheme="minorHAnsi"/>
                <w:b/>
                <w:bCs/>
                <w:color w:val="000000"/>
                <w:lang w:eastAsia="en-GB"/>
              </w:rPr>
            </w:pPr>
            <w:r>
              <w:rPr>
                <w:rFonts w:ascii="Calibri" w:hAnsi="Calibri" w:cs="Calibri"/>
                <w:color w:val="000000"/>
              </w:rPr>
              <w:t>70</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FD5D454" w14:textId="72370681" w:rsidR="008D719A" w:rsidRDefault="008D719A" w:rsidP="008D719A">
            <w:pPr>
              <w:spacing w:line="240" w:lineRule="auto"/>
              <w:jc w:val="center"/>
              <w:rPr>
                <w:rFonts w:ascii="Calibri" w:hAnsi="Calibri" w:cs="Calibri"/>
              </w:rPr>
            </w:pPr>
            <w:r>
              <w:rPr>
                <w:rFonts w:ascii="Calibri" w:hAnsi="Calibri" w:cs="Calibri"/>
                <w:color w:val="000000"/>
              </w:rPr>
              <w:t>3.02%</w:t>
            </w:r>
          </w:p>
        </w:tc>
      </w:tr>
      <w:tr w:rsidR="00A45775" w14:paraId="105A8D08"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noWrap/>
            <w:vAlign w:val="center"/>
            <w:hideMark/>
          </w:tcPr>
          <w:p w14:paraId="255676AA" w14:textId="77777777" w:rsidR="00A45775" w:rsidRDefault="00A45775">
            <w:pPr>
              <w:spacing w:line="240" w:lineRule="auto"/>
              <w:rPr>
                <w:rFonts w:ascii="Calibri" w:hAnsi="Calibri" w:cs="Calibri"/>
                <w:b/>
                <w:i/>
              </w:rPr>
            </w:pPr>
            <w:r>
              <w:rPr>
                <w:rFonts w:ascii="Calibri" w:hAnsi="Calibri" w:cs="Calibri"/>
                <w:b/>
                <w:i/>
              </w:rPr>
              <w:t>Final electricity consumption by sector:</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1132A55" w14:textId="44017534" w:rsidR="00A45775" w:rsidRDefault="00A45775">
            <w:pPr>
              <w:spacing w:line="240" w:lineRule="auto"/>
              <w:jc w:val="center"/>
              <w:rPr>
                <w:rFonts w:ascii="Calibri" w:hAnsi="Calibri" w:cs="Calibri"/>
                <w:color w:val="000000"/>
              </w:rPr>
            </w:pPr>
            <w:r>
              <w:rPr>
                <w:rFonts w:eastAsia="Times New Roman" w:cstheme="minorHAnsi"/>
                <w:b/>
                <w:bCs/>
                <w:color w:val="000000"/>
                <w:lang w:eastAsia="en-GB"/>
              </w:rPr>
              <w:t>201</w:t>
            </w:r>
            <w:r w:rsidR="008D719A">
              <w:rPr>
                <w:rFonts w:eastAsia="Times New Roman" w:cstheme="minorHAnsi"/>
                <w:b/>
                <w:bCs/>
                <w:color w:val="000000"/>
                <w:lang w:eastAsia="en-GB"/>
              </w:rPr>
              <w:t>7</w:t>
            </w:r>
            <w:r>
              <w:rPr>
                <w:rFonts w:eastAsia="Times New Roman" w:cstheme="minorHAnsi"/>
                <w:b/>
                <w:bCs/>
                <w:color w:val="000000"/>
                <w:lang w:eastAsia="en-GB"/>
              </w:rPr>
              <w:t xml:space="preserve"> Level</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74BB8CC" w14:textId="06FA2CED" w:rsidR="00A45775" w:rsidRDefault="00A45775">
            <w:pPr>
              <w:spacing w:line="240" w:lineRule="auto"/>
              <w:jc w:val="center"/>
              <w:rPr>
                <w:rFonts w:ascii="Calibri" w:hAnsi="Calibri" w:cs="Calibri"/>
                <w:color w:val="000000"/>
              </w:rPr>
            </w:pPr>
            <w:r>
              <w:rPr>
                <w:rFonts w:eastAsia="Times New Roman" w:cstheme="minorHAnsi"/>
                <w:b/>
                <w:bCs/>
                <w:color w:val="000000"/>
                <w:lang w:eastAsia="en-GB"/>
              </w:rPr>
              <w:t>201</w:t>
            </w:r>
            <w:r w:rsidR="008D719A">
              <w:rPr>
                <w:rFonts w:eastAsia="Times New Roman" w:cstheme="minorHAnsi"/>
                <w:b/>
                <w:bCs/>
                <w:color w:val="000000"/>
                <w:lang w:eastAsia="en-GB"/>
              </w:rPr>
              <w:t>8</w:t>
            </w:r>
            <w:r>
              <w:rPr>
                <w:rFonts w:eastAsia="Times New Roman" w:cstheme="minorHAnsi"/>
                <w:b/>
                <w:bCs/>
                <w:color w:val="000000"/>
                <w:lang w:eastAsia="en-GB"/>
              </w:rPr>
              <w:t xml:space="preserve"> Level</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EFD539D" w14:textId="77777777" w:rsidR="00A45775" w:rsidRDefault="00A45775">
            <w:pPr>
              <w:spacing w:line="240" w:lineRule="auto"/>
              <w:jc w:val="center"/>
              <w:rPr>
                <w:rFonts w:ascii="Calibri" w:hAnsi="Calibri" w:cs="Calibri"/>
                <w:b/>
                <w:color w:val="000000"/>
              </w:rPr>
            </w:pPr>
            <w:r>
              <w:rPr>
                <w:rFonts w:ascii="Calibri" w:hAnsi="Calibri" w:cs="Calibri"/>
                <w:b/>
                <w:color w:val="000000"/>
              </w:rPr>
              <w:t>Share of Growth</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77D6363" w14:textId="77777777" w:rsidR="00A45775" w:rsidRDefault="00A45775">
            <w:pPr>
              <w:spacing w:line="240" w:lineRule="auto"/>
              <w:jc w:val="center"/>
              <w:rPr>
                <w:rFonts w:ascii="Calibri" w:hAnsi="Calibri" w:cs="Calibri"/>
                <w:color w:val="000000"/>
              </w:rPr>
            </w:pPr>
            <w:r>
              <w:rPr>
                <w:rFonts w:eastAsia="Times New Roman" w:cstheme="minorHAnsi"/>
                <w:b/>
                <w:bCs/>
                <w:color w:val="000000"/>
                <w:lang w:eastAsia="en-GB"/>
              </w:rPr>
              <w:t>Percentage Change</w:t>
            </w:r>
          </w:p>
        </w:tc>
      </w:tr>
      <w:tr w:rsidR="00A45775" w14:paraId="5CA4CD6E"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center"/>
          </w:tcPr>
          <w:p w14:paraId="7CE12AFE" w14:textId="77777777" w:rsidR="00A45775" w:rsidRDefault="00A45775">
            <w:pPr>
              <w:spacing w:line="240" w:lineRule="auto"/>
              <w:rPr>
                <w:rFonts w:ascii="Calibri" w:hAnsi="Calibri" w:cs="Calibri"/>
              </w:rPr>
            </w:pP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53B503A" w14:textId="77777777" w:rsidR="00A45775" w:rsidRDefault="00A45775">
            <w:pPr>
              <w:spacing w:line="240" w:lineRule="auto"/>
              <w:jc w:val="center"/>
              <w:rPr>
                <w:rFonts w:ascii="Calibri" w:hAnsi="Calibri" w:cs="Calibri"/>
                <w:i/>
                <w:color w:val="000000"/>
              </w:rPr>
            </w:pPr>
            <w:r>
              <w:rPr>
                <w:rFonts w:eastAsia="Times New Roman" w:cstheme="minorHAnsi"/>
                <w:bCs/>
                <w:i/>
                <w:color w:val="000000"/>
                <w:lang w:eastAsia="en-GB"/>
              </w:rPr>
              <w:t>GWh</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F81A7F3" w14:textId="77777777" w:rsidR="00A45775" w:rsidRDefault="00A45775">
            <w:pPr>
              <w:spacing w:line="240" w:lineRule="auto"/>
              <w:jc w:val="center"/>
              <w:rPr>
                <w:rFonts w:ascii="Calibri" w:hAnsi="Calibri" w:cs="Calibri"/>
                <w:i/>
                <w:color w:val="000000"/>
              </w:rPr>
            </w:pPr>
            <w:r>
              <w:rPr>
                <w:rFonts w:eastAsia="Times New Roman" w:cstheme="minorHAnsi"/>
                <w:bCs/>
                <w:i/>
                <w:color w:val="000000"/>
                <w:lang w:eastAsia="en-GB"/>
              </w:rPr>
              <w:t>GWh</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C14D7D1" w14:textId="77777777" w:rsidR="00A45775" w:rsidRDefault="00A45775">
            <w:pPr>
              <w:spacing w:line="240" w:lineRule="auto"/>
              <w:jc w:val="center"/>
              <w:rPr>
                <w:rFonts w:ascii="Calibri" w:hAnsi="Calibri" w:cs="Calibri"/>
                <w:i/>
                <w:color w:val="000000"/>
              </w:rPr>
            </w:pPr>
            <w:r>
              <w:rPr>
                <w:rFonts w:eastAsia="Times New Roman" w:cstheme="minorHAnsi"/>
                <w:bCs/>
                <w:i/>
                <w:color w:val="000000"/>
                <w:lang w:eastAsia="en-GB"/>
              </w:rPr>
              <w:t>%</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6A82BCA" w14:textId="77777777" w:rsidR="00A45775" w:rsidRDefault="00A45775">
            <w:pPr>
              <w:spacing w:line="240" w:lineRule="auto"/>
              <w:jc w:val="center"/>
              <w:rPr>
                <w:rFonts w:eastAsia="Times New Roman" w:cstheme="minorHAnsi"/>
                <w:bCs/>
                <w:i/>
                <w:color w:val="000000"/>
                <w:lang w:eastAsia="en-GB"/>
              </w:rPr>
            </w:pPr>
            <w:r>
              <w:rPr>
                <w:rFonts w:eastAsia="Times New Roman" w:cstheme="minorHAnsi"/>
                <w:bCs/>
                <w:i/>
                <w:color w:val="000000"/>
                <w:lang w:eastAsia="en-GB"/>
              </w:rPr>
              <w:t>%</w:t>
            </w:r>
          </w:p>
        </w:tc>
      </w:tr>
      <w:tr w:rsidR="008D719A" w14:paraId="6B8F0AE8"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bottom"/>
            <w:hideMark/>
          </w:tcPr>
          <w:p w14:paraId="3969E820" w14:textId="77777777" w:rsidR="008D719A" w:rsidRDefault="008D719A" w:rsidP="008D719A">
            <w:pPr>
              <w:spacing w:line="240" w:lineRule="auto"/>
              <w:rPr>
                <w:rFonts w:eastAsia="Times New Roman" w:cstheme="minorHAnsi"/>
                <w:color w:val="000000"/>
                <w:lang w:eastAsia="en-GB"/>
              </w:rPr>
            </w:pPr>
            <w:r>
              <w:rPr>
                <w:rFonts w:ascii="Calibri" w:hAnsi="Calibri" w:cs="Calibri"/>
                <w:color w:val="000000"/>
              </w:rPr>
              <w:t>Industry</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EFAF46F" w14:textId="469A3C31"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459</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C8013DF" w14:textId="004923B9"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480</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8875225" w14:textId="10EC1CCB" w:rsidR="008D719A" w:rsidRDefault="008D719A" w:rsidP="008D719A">
            <w:pPr>
              <w:spacing w:line="240" w:lineRule="auto"/>
              <w:jc w:val="center"/>
              <w:rPr>
                <w:rFonts w:eastAsia="Times New Roman" w:cstheme="minorHAnsi"/>
                <w:bCs/>
                <w:color w:val="000000"/>
                <w:lang w:eastAsia="en-GB"/>
              </w:rPr>
            </w:pPr>
            <w:r>
              <w:rPr>
                <w:rFonts w:ascii="Calibri" w:hAnsi="Calibri" w:cs="Calibri"/>
                <w:color w:val="000000"/>
              </w:rPr>
              <w:t>30.0%</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A66F9EE" w14:textId="4D194E25" w:rsidR="008D719A" w:rsidRDefault="008D719A" w:rsidP="008D719A">
            <w:pPr>
              <w:spacing w:line="240" w:lineRule="auto"/>
              <w:jc w:val="center"/>
              <w:rPr>
                <w:rFonts w:ascii="Calibri" w:hAnsi="Calibri" w:cs="Calibri"/>
              </w:rPr>
            </w:pPr>
            <w:r>
              <w:rPr>
                <w:rFonts w:ascii="Calibri" w:hAnsi="Calibri" w:cs="Calibri"/>
                <w:color w:val="000000"/>
              </w:rPr>
              <w:t>4.6%</w:t>
            </w:r>
          </w:p>
        </w:tc>
      </w:tr>
      <w:tr w:rsidR="008D719A" w14:paraId="3B062C6F"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bottom"/>
            <w:hideMark/>
          </w:tcPr>
          <w:p w14:paraId="69A25240" w14:textId="77777777" w:rsidR="008D719A" w:rsidRDefault="008D719A" w:rsidP="008D719A">
            <w:pPr>
              <w:spacing w:line="240" w:lineRule="auto"/>
              <w:rPr>
                <w:rFonts w:eastAsia="Times New Roman" w:cstheme="minorHAnsi"/>
                <w:color w:val="000000"/>
                <w:lang w:eastAsia="en-GB"/>
              </w:rPr>
            </w:pPr>
            <w:r>
              <w:rPr>
                <w:rFonts w:ascii="Calibri" w:hAnsi="Calibri" w:cs="Calibri"/>
                <w:color w:val="000000"/>
              </w:rPr>
              <w:t>Services</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33A57B7" w14:textId="1D86426B"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1</w:t>
            </w:r>
            <w:r w:rsidR="004D25CF">
              <w:rPr>
                <w:rFonts w:ascii="Calibri" w:hAnsi="Calibri" w:cs="Calibri"/>
                <w:color w:val="000000"/>
              </w:rPr>
              <w:t>,</w:t>
            </w:r>
            <w:r>
              <w:rPr>
                <w:rFonts w:ascii="Calibri" w:hAnsi="Calibri" w:cs="Calibri"/>
                <w:color w:val="000000"/>
              </w:rPr>
              <w:t>093</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043C1A0" w14:textId="16A20296"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1,118</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267EF2B" w14:textId="6049FC1F" w:rsidR="008D719A" w:rsidRDefault="008D719A" w:rsidP="008D719A">
            <w:pPr>
              <w:spacing w:line="240" w:lineRule="auto"/>
              <w:jc w:val="center"/>
              <w:rPr>
                <w:rFonts w:eastAsia="Times New Roman" w:cstheme="minorHAnsi"/>
                <w:bCs/>
                <w:color w:val="000000"/>
                <w:lang w:eastAsia="en-GB"/>
              </w:rPr>
            </w:pPr>
            <w:r>
              <w:rPr>
                <w:rFonts w:ascii="Calibri" w:hAnsi="Calibri" w:cs="Calibri"/>
                <w:color w:val="000000"/>
              </w:rPr>
              <w:t>35.7%</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84F0881" w14:textId="115A23FB" w:rsidR="008D719A" w:rsidRDefault="008D719A" w:rsidP="008D719A">
            <w:pPr>
              <w:spacing w:line="240" w:lineRule="auto"/>
              <w:jc w:val="center"/>
              <w:rPr>
                <w:rFonts w:ascii="Calibri" w:hAnsi="Calibri" w:cs="Calibri"/>
              </w:rPr>
            </w:pPr>
            <w:r>
              <w:rPr>
                <w:rFonts w:ascii="Calibri" w:hAnsi="Calibri" w:cs="Calibri"/>
                <w:color w:val="000000"/>
              </w:rPr>
              <w:t>2.3%</w:t>
            </w:r>
          </w:p>
        </w:tc>
      </w:tr>
      <w:tr w:rsidR="008D719A" w14:paraId="641E094C"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bottom"/>
            <w:hideMark/>
          </w:tcPr>
          <w:p w14:paraId="76E37A8F" w14:textId="77777777" w:rsidR="008D719A" w:rsidRDefault="008D719A" w:rsidP="008D719A">
            <w:pPr>
              <w:spacing w:line="240" w:lineRule="auto"/>
              <w:rPr>
                <w:rFonts w:eastAsia="Times New Roman" w:cstheme="minorHAnsi"/>
                <w:color w:val="000000"/>
                <w:lang w:eastAsia="en-GB"/>
              </w:rPr>
            </w:pPr>
            <w:r>
              <w:rPr>
                <w:rFonts w:ascii="Calibri" w:hAnsi="Calibri" w:cs="Calibri"/>
                <w:color w:val="000000"/>
              </w:rPr>
              <w:t>Residential</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FE1B0CB" w14:textId="4A230B2E"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728</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0482480" w14:textId="3D70C9FD"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756</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AAD2AA6" w14:textId="2B01C66E" w:rsidR="008D719A" w:rsidRDefault="008D719A" w:rsidP="008D719A">
            <w:pPr>
              <w:spacing w:line="240" w:lineRule="auto"/>
              <w:jc w:val="center"/>
              <w:rPr>
                <w:rFonts w:eastAsia="Times New Roman" w:cstheme="minorHAnsi"/>
                <w:bCs/>
                <w:color w:val="000000"/>
                <w:lang w:eastAsia="en-GB"/>
              </w:rPr>
            </w:pPr>
            <w:r>
              <w:rPr>
                <w:rFonts w:ascii="Calibri" w:hAnsi="Calibri" w:cs="Calibri"/>
                <w:color w:val="000000"/>
              </w:rPr>
              <w:t>40.0%</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04A0E93" w14:textId="7E26236D" w:rsidR="008D719A" w:rsidRDefault="008D719A" w:rsidP="008D719A">
            <w:pPr>
              <w:spacing w:line="240" w:lineRule="auto"/>
              <w:jc w:val="center"/>
              <w:rPr>
                <w:rFonts w:ascii="Calibri" w:hAnsi="Calibri" w:cs="Calibri"/>
              </w:rPr>
            </w:pPr>
            <w:r>
              <w:rPr>
                <w:rFonts w:ascii="Calibri" w:hAnsi="Calibri" w:cs="Calibri"/>
                <w:color w:val="000000"/>
              </w:rPr>
              <w:t>3.8%</w:t>
            </w:r>
          </w:p>
        </w:tc>
      </w:tr>
      <w:tr w:rsidR="008D719A" w14:paraId="0BFFD2C0"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bottom"/>
            <w:hideMark/>
          </w:tcPr>
          <w:p w14:paraId="6F579806" w14:textId="77777777" w:rsidR="008D719A" w:rsidRDefault="008D719A" w:rsidP="008D719A">
            <w:pPr>
              <w:spacing w:line="240" w:lineRule="auto"/>
              <w:rPr>
                <w:rFonts w:eastAsia="Times New Roman" w:cstheme="minorHAnsi"/>
                <w:color w:val="000000"/>
                <w:lang w:eastAsia="en-GB"/>
              </w:rPr>
            </w:pPr>
            <w:r>
              <w:rPr>
                <w:rFonts w:ascii="Calibri" w:hAnsi="Calibri" w:cs="Calibri"/>
                <w:color w:val="000000"/>
              </w:rPr>
              <w:t xml:space="preserve">Agriculture and Fishing </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E702235" w14:textId="182A1904"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13</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EDD00D3" w14:textId="220E7137"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12</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F7599FB" w14:textId="1F1A1EC1" w:rsidR="008D719A" w:rsidRDefault="008D719A" w:rsidP="008D719A">
            <w:pPr>
              <w:spacing w:line="240" w:lineRule="auto"/>
              <w:jc w:val="center"/>
              <w:rPr>
                <w:rFonts w:eastAsia="Times New Roman" w:cstheme="minorHAnsi"/>
                <w:b/>
                <w:bCs/>
                <w:color w:val="000000"/>
                <w:lang w:eastAsia="en-GB"/>
              </w:rPr>
            </w:pPr>
            <w:r>
              <w:rPr>
                <w:rFonts w:ascii="Calibri" w:hAnsi="Calibri" w:cs="Calibri"/>
                <w:color w:val="000000"/>
              </w:rPr>
              <w:t>-1.4%</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DA131C9" w14:textId="481A8870" w:rsidR="008D719A" w:rsidRDefault="008D719A" w:rsidP="008D719A">
            <w:pPr>
              <w:spacing w:line="240" w:lineRule="auto"/>
              <w:jc w:val="center"/>
              <w:rPr>
                <w:rFonts w:ascii="Calibri" w:hAnsi="Calibri" w:cs="Calibri"/>
              </w:rPr>
            </w:pPr>
            <w:r>
              <w:rPr>
                <w:rFonts w:ascii="Calibri" w:hAnsi="Calibri" w:cs="Calibri"/>
                <w:color w:val="000000"/>
              </w:rPr>
              <w:t>-7.7%</w:t>
            </w:r>
          </w:p>
        </w:tc>
      </w:tr>
      <w:tr w:rsidR="008D719A" w14:paraId="791993DD" w14:textId="77777777" w:rsidTr="008827CE">
        <w:trPr>
          <w:trHeight w:val="283"/>
        </w:trPr>
        <w:tc>
          <w:tcPr>
            <w:tcW w:w="39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bottom"/>
            <w:hideMark/>
          </w:tcPr>
          <w:p w14:paraId="7044C459" w14:textId="77777777" w:rsidR="008D719A" w:rsidRDefault="008D719A" w:rsidP="008D719A">
            <w:pPr>
              <w:spacing w:line="240" w:lineRule="auto"/>
              <w:rPr>
                <w:rFonts w:ascii="Calibri" w:hAnsi="Calibri" w:cs="Calibri"/>
                <w:color w:val="000000"/>
              </w:rPr>
            </w:pPr>
            <w:r>
              <w:rPr>
                <w:rFonts w:ascii="Calibri" w:hAnsi="Calibri" w:cs="Calibri"/>
                <w:color w:val="000000"/>
              </w:rPr>
              <w:t>Other</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92D77CE" w14:textId="0464A348"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27</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059DBDA" w14:textId="23D8B742" w:rsidR="008D719A" w:rsidRDefault="008D719A" w:rsidP="008D719A">
            <w:pPr>
              <w:spacing w:line="240" w:lineRule="auto"/>
              <w:jc w:val="center"/>
              <w:rPr>
                <w:rFonts w:eastAsia="Times New Roman" w:cstheme="minorHAnsi"/>
                <w:color w:val="000000"/>
                <w:lang w:eastAsia="en-GB"/>
              </w:rPr>
            </w:pPr>
            <w:r>
              <w:rPr>
                <w:rFonts w:ascii="Calibri" w:hAnsi="Calibri" w:cs="Calibri"/>
                <w:color w:val="000000"/>
              </w:rPr>
              <w:t>25</w:t>
            </w:r>
          </w:p>
        </w:tc>
        <w:tc>
          <w:tcPr>
            <w:tcW w:w="127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253EEA6" w14:textId="4BFB17FF" w:rsidR="008D719A" w:rsidRDefault="008D719A" w:rsidP="008D719A">
            <w:pPr>
              <w:spacing w:line="240" w:lineRule="auto"/>
              <w:jc w:val="center"/>
              <w:rPr>
                <w:rFonts w:eastAsia="Times New Roman" w:cstheme="minorHAnsi"/>
                <w:b/>
                <w:bCs/>
                <w:color w:val="000000"/>
                <w:lang w:eastAsia="en-GB"/>
              </w:rPr>
            </w:pPr>
            <w:r>
              <w:rPr>
                <w:rFonts w:ascii="Calibri" w:hAnsi="Calibri" w:cs="Calibri"/>
                <w:color w:val="000000"/>
              </w:rPr>
              <w:t>-2.9%</w:t>
            </w:r>
          </w:p>
        </w:tc>
        <w:tc>
          <w:tcPr>
            <w:tcW w:w="12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8F70F7A" w14:textId="7AD4743D" w:rsidR="008D719A" w:rsidRDefault="008D719A" w:rsidP="008D719A">
            <w:pPr>
              <w:spacing w:line="240" w:lineRule="auto"/>
              <w:jc w:val="center"/>
              <w:rPr>
                <w:rFonts w:ascii="Calibri" w:hAnsi="Calibri" w:cs="Calibri"/>
              </w:rPr>
            </w:pPr>
            <w:r>
              <w:rPr>
                <w:rFonts w:ascii="Calibri" w:hAnsi="Calibri" w:cs="Calibri"/>
                <w:color w:val="000000"/>
              </w:rPr>
              <w:t>-7.4%</w:t>
            </w:r>
          </w:p>
        </w:tc>
      </w:tr>
    </w:tbl>
    <w:p w14:paraId="76630491" w14:textId="4F8275A8" w:rsidR="00CF23FE" w:rsidRPr="0066392E" w:rsidRDefault="00C450CA" w:rsidP="00A45775">
      <w:pPr>
        <w:pStyle w:val="NoSpacing"/>
        <w:spacing w:after="160" w:line="256" w:lineRule="auto"/>
        <w:rPr>
          <w:rFonts w:cstheme="minorHAnsi"/>
          <w:sz w:val="18"/>
          <w:szCs w:val="18"/>
        </w:rPr>
      </w:pPr>
      <w:r>
        <w:rPr>
          <w:rFonts w:cstheme="minorHAnsi"/>
          <w:sz w:val="18"/>
          <w:szCs w:val="18"/>
        </w:rPr>
        <w:t xml:space="preserve">Source: Eurostat - </w:t>
      </w:r>
      <w:r w:rsidRPr="00C450CA">
        <w:rPr>
          <w:rFonts w:cstheme="minorHAnsi"/>
          <w:sz w:val="18"/>
          <w:szCs w:val="18"/>
        </w:rPr>
        <w:t>Supply, transformation and consumption of electricity [</w:t>
      </w:r>
      <w:proofErr w:type="spellStart"/>
      <w:r w:rsidRPr="00C450CA">
        <w:rPr>
          <w:rFonts w:cstheme="minorHAnsi"/>
          <w:sz w:val="18"/>
          <w:szCs w:val="18"/>
        </w:rPr>
        <w:t>nrg_cb_e</w:t>
      </w:r>
      <w:proofErr w:type="spellEnd"/>
      <w:r w:rsidRPr="00C450CA">
        <w:rPr>
          <w:rFonts w:cstheme="minorHAnsi"/>
          <w:sz w:val="18"/>
          <w:szCs w:val="18"/>
        </w:rPr>
        <w:t>]</w:t>
      </w:r>
      <w:r w:rsidR="004C26EE">
        <w:rPr>
          <w:rFonts w:cstheme="minorHAnsi"/>
          <w:sz w:val="18"/>
          <w:szCs w:val="18"/>
        </w:rPr>
        <w:tab/>
      </w:r>
    </w:p>
    <w:p w14:paraId="4FB3201E" w14:textId="62FC9965" w:rsidR="00A45775" w:rsidRDefault="002727C7" w:rsidP="00A45775">
      <w:pPr>
        <w:jc w:val="both"/>
        <w:rPr>
          <w:rFonts w:cstheme="minorHAnsi"/>
        </w:rPr>
      </w:pPr>
      <w:r>
        <w:rPr>
          <w:rFonts w:cstheme="minorHAnsi"/>
        </w:rPr>
        <w:lastRenderedPageBreak/>
        <w:t>The</w:t>
      </w:r>
      <w:r w:rsidR="00A45775">
        <w:rPr>
          <w:rFonts w:cstheme="minorHAnsi"/>
        </w:rPr>
        <w:t xml:space="preserve"> annual increase of </w:t>
      </w:r>
      <w:r w:rsidR="005D3380">
        <w:rPr>
          <w:rFonts w:cstheme="minorHAnsi"/>
        </w:rPr>
        <w:t>70</w:t>
      </w:r>
      <w:r w:rsidR="00A45775">
        <w:rPr>
          <w:rFonts w:cstheme="minorHAnsi"/>
        </w:rPr>
        <w:t xml:space="preserve"> GWh in the final electricity consumption level is primarily driven by the residential sector, which contributed to </w:t>
      </w:r>
      <w:r w:rsidR="00140E79">
        <w:rPr>
          <w:rFonts w:cstheme="minorHAnsi"/>
        </w:rPr>
        <w:t>40%</w:t>
      </w:r>
      <w:r w:rsidR="00A45775">
        <w:rPr>
          <w:rFonts w:cstheme="minorHAnsi"/>
        </w:rPr>
        <w:t xml:space="preserve"> of the absolute growth, followed by the services sector with a 3</w:t>
      </w:r>
      <w:r w:rsidR="005D3380">
        <w:rPr>
          <w:rFonts w:cstheme="minorHAnsi"/>
        </w:rPr>
        <w:t>6</w:t>
      </w:r>
      <w:r w:rsidR="00A45775">
        <w:rPr>
          <w:rFonts w:cstheme="minorHAnsi"/>
        </w:rPr>
        <w:t xml:space="preserve">% share of growth, and industry with a share of </w:t>
      </w:r>
      <w:r w:rsidR="005D3380">
        <w:rPr>
          <w:rFonts w:cstheme="minorHAnsi"/>
        </w:rPr>
        <w:t>30</w:t>
      </w:r>
      <w:r w:rsidR="00A45775">
        <w:rPr>
          <w:rFonts w:cstheme="minorHAnsi"/>
        </w:rPr>
        <w:t xml:space="preserve">%.  </w:t>
      </w:r>
    </w:p>
    <w:p w14:paraId="25E3F90A" w14:textId="7D6217C3" w:rsidR="00A45775" w:rsidRDefault="009D6164" w:rsidP="00A45775">
      <w:pPr>
        <w:jc w:val="both"/>
        <w:rPr>
          <w:rFonts w:cstheme="minorHAnsi"/>
        </w:rPr>
      </w:pPr>
      <w:r>
        <w:rPr>
          <w:rFonts w:cstheme="minorHAnsi"/>
        </w:rPr>
        <w:t>The</w:t>
      </w:r>
      <w:r w:rsidR="00067434">
        <w:rPr>
          <w:rFonts w:cstheme="minorHAnsi"/>
        </w:rPr>
        <w:t xml:space="preserve"> increase in electricity demand is attributed </w:t>
      </w:r>
      <w:r w:rsidR="00A45775">
        <w:rPr>
          <w:rFonts w:cstheme="minorHAnsi"/>
        </w:rPr>
        <w:t>to the increase in population coupled with strong growth in economic activity</w:t>
      </w:r>
      <w:r w:rsidR="00067434">
        <w:rPr>
          <w:rFonts w:cstheme="minorHAnsi"/>
        </w:rPr>
        <w:t xml:space="preserve">. </w:t>
      </w:r>
      <w:r w:rsidR="00140E79">
        <w:rPr>
          <w:rFonts w:cstheme="minorHAnsi"/>
        </w:rPr>
        <w:t>G</w:t>
      </w:r>
      <w:r w:rsidR="00067434">
        <w:rPr>
          <w:rFonts w:cstheme="minorHAnsi"/>
        </w:rPr>
        <w:t xml:space="preserve">rowth in electricity consumption </w:t>
      </w:r>
      <w:r w:rsidR="00AB4780">
        <w:rPr>
          <w:rFonts w:cstheme="minorHAnsi"/>
        </w:rPr>
        <w:t xml:space="preserve">in </w:t>
      </w:r>
      <w:r w:rsidR="00140E79">
        <w:rPr>
          <w:rFonts w:cstheme="minorHAnsi"/>
        </w:rPr>
        <w:t>2018</w:t>
      </w:r>
      <w:r w:rsidR="00AB4780">
        <w:rPr>
          <w:rFonts w:cstheme="minorHAnsi"/>
        </w:rPr>
        <w:t xml:space="preserve"> at 3%</w:t>
      </w:r>
      <w:r w:rsidR="00140E79">
        <w:rPr>
          <w:rFonts w:cstheme="minorHAnsi"/>
        </w:rPr>
        <w:t xml:space="preserve"> is </w:t>
      </w:r>
      <w:r w:rsidR="00AB4780">
        <w:rPr>
          <w:rFonts w:cstheme="minorHAnsi"/>
        </w:rPr>
        <w:t xml:space="preserve">substantially </w:t>
      </w:r>
      <w:r w:rsidR="00067434">
        <w:rPr>
          <w:rFonts w:cstheme="minorHAnsi"/>
        </w:rPr>
        <w:t xml:space="preserve">lower than the </w:t>
      </w:r>
      <w:r w:rsidR="00140E79">
        <w:rPr>
          <w:rFonts w:cstheme="minorHAnsi"/>
        </w:rPr>
        <w:t>growth registered between 2016 and 2017</w:t>
      </w:r>
      <w:r w:rsidR="00AB4780">
        <w:rPr>
          <w:rFonts w:cstheme="minorHAnsi"/>
        </w:rPr>
        <w:t xml:space="preserve"> (at almost 10%)</w:t>
      </w:r>
      <w:r w:rsidR="00140E79">
        <w:rPr>
          <w:rFonts w:cstheme="minorHAnsi"/>
        </w:rPr>
        <w:t xml:space="preserve">, in part explained by the milder </w:t>
      </w:r>
      <w:r w:rsidR="00AB4780">
        <w:rPr>
          <w:rFonts w:cstheme="minorHAnsi"/>
        </w:rPr>
        <w:t xml:space="preserve">winter and summer </w:t>
      </w:r>
      <w:r w:rsidR="00067434">
        <w:rPr>
          <w:rFonts w:cstheme="minorHAnsi"/>
        </w:rPr>
        <w:t>condition</w:t>
      </w:r>
      <w:r>
        <w:rPr>
          <w:rFonts w:cstheme="minorHAnsi"/>
        </w:rPr>
        <w:t>s</w:t>
      </w:r>
      <w:r w:rsidR="00067434">
        <w:rPr>
          <w:rFonts w:cstheme="minorHAnsi"/>
        </w:rPr>
        <w:t xml:space="preserve"> in 2018 when compared to 2017</w:t>
      </w:r>
      <w:r w:rsidR="000539C2">
        <w:rPr>
          <w:rFonts w:cstheme="minorHAnsi"/>
        </w:rPr>
        <w:t>.</w:t>
      </w:r>
      <w:r w:rsidR="00A45775">
        <w:rPr>
          <w:rFonts w:cstheme="minorHAnsi"/>
        </w:rPr>
        <w:t xml:space="preserve"> </w:t>
      </w:r>
    </w:p>
    <w:p w14:paraId="35D5BBD1" w14:textId="75216B0E" w:rsidR="00A45775" w:rsidRDefault="00A45775" w:rsidP="009D6164">
      <w:pPr>
        <w:jc w:val="both"/>
        <w:rPr>
          <w:rFonts w:cstheme="minorHAnsi"/>
        </w:rPr>
      </w:pPr>
      <w:r>
        <w:rPr>
          <w:rFonts w:cstheme="minorHAnsi"/>
        </w:rPr>
        <w:t xml:space="preserve">A sectoral analysis of </w:t>
      </w:r>
      <w:r w:rsidR="00775016">
        <w:rPr>
          <w:rFonts w:cstheme="minorHAnsi"/>
        </w:rPr>
        <w:t xml:space="preserve">the final </w:t>
      </w:r>
      <w:r>
        <w:rPr>
          <w:rFonts w:cstheme="minorHAnsi"/>
        </w:rPr>
        <w:t xml:space="preserve">energy consumption shows </w:t>
      </w:r>
      <w:r w:rsidR="00321CD3">
        <w:rPr>
          <w:rFonts w:cstheme="minorHAnsi"/>
        </w:rPr>
        <w:t>that more than 100% of</w:t>
      </w:r>
      <w:r w:rsidR="004524AE">
        <w:rPr>
          <w:rFonts w:cstheme="minorHAnsi"/>
        </w:rPr>
        <w:t xml:space="preserve"> </w:t>
      </w:r>
      <w:r>
        <w:rPr>
          <w:rFonts w:cstheme="minorHAnsi"/>
        </w:rPr>
        <w:t xml:space="preserve">the absolute annual increase in final energy use is attributed to growth in energy used in the transport sector. An increase in economic activity is expected to generate increased movements reflecting themselves into higher use of transport and thus, energy demand for this purpose. This movement has generated an increase in energy used by the transport sector of </w:t>
      </w:r>
      <w:r w:rsidR="00321CD3">
        <w:rPr>
          <w:rFonts w:cstheme="minorHAnsi"/>
        </w:rPr>
        <w:t>11.5</w:t>
      </w:r>
      <w:r>
        <w:rPr>
          <w:rFonts w:cstheme="minorHAnsi"/>
        </w:rPr>
        <w:t>% in 201</w:t>
      </w:r>
      <w:r w:rsidR="0066392E">
        <w:rPr>
          <w:rFonts w:cstheme="minorHAnsi"/>
        </w:rPr>
        <w:t>8</w:t>
      </w:r>
      <w:r>
        <w:rPr>
          <w:rFonts w:cstheme="minorHAnsi"/>
        </w:rPr>
        <w:t xml:space="preserve"> in relation to 201</w:t>
      </w:r>
      <w:r w:rsidR="00321CD3">
        <w:rPr>
          <w:rFonts w:cstheme="minorHAnsi"/>
        </w:rPr>
        <w:t>7</w:t>
      </w:r>
      <w:r>
        <w:rPr>
          <w:rFonts w:cstheme="minorHAnsi"/>
        </w:rPr>
        <w:t xml:space="preserve">. </w:t>
      </w:r>
    </w:p>
    <w:p w14:paraId="1AED001B" w14:textId="7A6069CD" w:rsidR="00A45775" w:rsidRDefault="00A45775" w:rsidP="008710F5">
      <w:pPr>
        <w:jc w:val="both"/>
        <w:rPr>
          <w:rFonts w:cstheme="minorHAnsi"/>
        </w:rPr>
      </w:pPr>
      <w:r w:rsidRPr="00667562">
        <w:rPr>
          <w:rFonts w:cstheme="minorHAnsi"/>
        </w:rPr>
        <w:t>The main contributor to this increase is the a</w:t>
      </w:r>
      <w:r w:rsidR="00455DF6">
        <w:rPr>
          <w:rFonts w:cstheme="minorHAnsi"/>
        </w:rPr>
        <w:t xml:space="preserve">utomotive </w:t>
      </w:r>
      <w:r w:rsidRPr="00667562">
        <w:rPr>
          <w:rFonts w:cstheme="minorHAnsi"/>
        </w:rPr>
        <w:t xml:space="preserve">industry, which brought about </w:t>
      </w:r>
      <w:r w:rsidR="00455DF6">
        <w:rPr>
          <w:rFonts w:cstheme="minorHAnsi"/>
        </w:rPr>
        <w:t>60</w:t>
      </w:r>
      <w:r w:rsidRPr="00667562">
        <w:rPr>
          <w:rFonts w:cstheme="minorHAnsi"/>
        </w:rPr>
        <w:t>% of the absolute growth in final energy used by the transport sector. In 201</w:t>
      </w:r>
      <w:r w:rsidR="00455DF6">
        <w:rPr>
          <w:rFonts w:cstheme="minorHAnsi"/>
        </w:rPr>
        <w:t>8</w:t>
      </w:r>
      <w:r w:rsidRPr="00667562">
        <w:rPr>
          <w:rFonts w:cstheme="minorHAnsi"/>
        </w:rPr>
        <w:t xml:space="preserve"> the stock of licensed motor vehicles stood at a level of </w:t>
      </w:r>
      <w:r w:rsidR="00455DF6">
        <w:rPr>
          <w:rFonts w:cstheme="minorHAnsi"/>
        </w:rPr>
        <w:t>38</w:t>
      </w:r>
      <w:r w:rsidR="006946D3">
        <w:rPr>
          <w:rFonts w:cstheme="minorHAnsi"/>
        </w:rPr>
        <w:t>0,578</w:t>
      </w:r>
      <w:r w:rsidRPr="00667562">
        <w:rPr>
          <w:rFonts w:cstheme="minorHAnsi"/>
        </w:rPr>
        <w:t>, recording a growth of 3.</w:t>
      </w:r>
      <w:r w:rsidR="006946D3">
        <w:rPr>
          <w:rFonts w:cstheme="minorHAnsi"/>
        </w:rPr>
        <w:t>7</w:t>
      </w:r>
      <w:r w:rsidRPr="00667562">
        <w:rPr>
          <w:rFonts w:cstheme="minorHAnsi"/>
        </w:rPr>
        <w:t>% over 201</w:t>
      </w:r>
      <w:r w:rsidR="00455DF6">
        <w:rPr>
          <w:rFonts w:cstheme="minorHAnsi"/>
        </w:rPr>
        <w:t>7</w:t>
      </w:r>
      <w:r w:rsidRPr="00667562">
        <w:rPr>
          <w:rFonts w:cstheme="minorHAnsi"/>
        </w:rPr>
        <w:t>. A significant increase of 2,</w:t>
      </w:r>
      <w:r w:rsidR="004F270A">
        <w:rPr>
          <w:rFonts w:cstheme="minorHAnsi"/>
        </w:rPr>
        <w:t>723</w:t>
      </w:r>
      <w:r w:rsidRPr="00667562">
        <w:rPr>
          <w:rFonts w:cstheme="minorHAnsi"/>
        </w:rPr>
        <w:t xml:space="preserve"> motorcycles was also registered in 201</w:t>
      </w:r>
      <w:r w:rsidR="004F270A">
        <w:rPr>
          <w:rFonts w:cstheme="minorHAnsi"/>
        </w:rPr>
        <w:t>8</w:t>
      </w:r>
      <w:r w:rsidRPr="00667562">
        <w:rPr>
          <w:rFonts w:cstheme="minorHAnsi"/>
        </w:rPr>
        <w:t xml:space="preserve">, generating almost one-fifth of the absolute increase in vehicles. Such growth was mainly stimulated by the continuation of </w:t>
      </w:r>
      <w:r w:rsidR="00775016" w:rsidRPr="00667562">
        <w:rPr>
          <w:rFonts w:cstheme="minorHAnsi"/>
        </w:rPr>
        <w:t>incentives</w:t>
      </w:r>
      <w:r w:rsidRPr="00667562">
        <w:rPr>
          <w:rFonts w:cstheme="minorHAnsi"/>
        </w:rPr>
        <w:t xml:space="preserve"> introduced in 2016, which served to encourage the use of motorcycles. </w:t>
      </w:r>
      <w:r w:rsidR="004E3ECC">
        <w:rPr>
          <w:rFonts w:cstheme="minorHAnsi"/>
        </w:rPr>
        <w:t>A</w:t>
      </w:r>
      <w:r w:rsidR="004E3ECC" w:rsidRPr="00667562">
        <w:rPr>
          <w:rFonts w:cstheme="minorHAnsi"/>
        </w:rPr>
        <w:t xml:space="preserve">nother one-fifth of the absolute increase </w:t>
      </w:r>
      <w:r w:rsidR="00AB4780">
        <w:rPr>
          <w:rFonts w:cstheme="minorHAnsi"/>
        </w:rPr>
        <w:t xml:space="preserve">in vehicle registrations </w:t>
      </w:r>
      <w:r w:rsidR="004E3ECC" w:rsidRPr="00667562">
        <w:rPr>
          <w:rFonts w:cstheme="minorHAnsi"/>
        </w:rPr>
        <w:t xml:space="preserve">mainly ensued from an increase in the number of leased passenger cars and goods-carrying vehicles. </w:t>
      </w:r>
      <w:r w:rsidR="004E3ECC">
        <w:rPr>
          <w:rFonts w:cstheme="minorHAnsi"/>
        </w:rPr>
        <w:t xml:space="preserve">Furthermore, </w:t>
      </w:r>
      <w:proofErr w:type="gramStart"/>
      <w:r w:rsidR="004E3ECC">
        <w:rPr>
          <w:rFonts w:cstheme="minorHAnsi"/>
        </w:rPr>
        <w:t>the majority of</w:t>
      </w:r>
      <w:proofErr w:type="gramEnd"/>
      <w:r w:rsidR="004E3ECC">
        <w:rPr>
          <w:rFonts w:cstheme="minorHAnsi"/>
        </w:rPr>
        <w:t xml:space="preserve"> the increase, over 50%, is attributed the ‘other’ forms of passenger car</w:t>
      </w:r>
      <w:r w:rsidR="00AB4780">
        <w:rPr>
          <w:rFonts w:cstheme="minorHAnsi"/>
        </w:rPr>
        <w:t>s</w:t>
      </w:r>
      <w:r w:rsidR="004E3ECC">
        <w:rPr>
          <w:rFonts w:cstheme="minorHAnsi"/>
        </w:rPr>
        <w:t xml:space="preserve"> which include ride-pooling</w:t>
      </w:r>
      <w:r w:rsidR="006946D3">
        <w:rPr>
          <w:rFonts w:cstheme="minorHAnsi"/>
        </w:rPr>
        <w:t xml:space="preserve"> form of</w:t>
      </w:r>
      <w:r w:rsidR="004E3ECC">
        <w:rPr>
          <w:rFonts w:cstheme="minorHAnsi"/>
        </w:rPr>
        <w:t xml:space="preserve"> services</w:t>
      </w:r>
      <w:r w:rsidR="006946D3">
        <w:rPr>
          <w:rFonts w:cstheme="minorHAnsi"/>
        </w:rPr>
        <w:t xml:space="preserve">. </w:t>
      </w:r>
      <w:r w:rsidRPr="00667562">
        <w:rPr>
          <w:rFonts w:cstheme="minorHAnsi"/>
        </w:rPr>
        <w:t>The overall increase in energy use in road transport is therefore noted to be driven by a positive economic turnout led by increase in consumption, production and tourism.</w:t>
      </w:r>
      <w:r>
        <w:rPr>
          <w:rFonts w:cstheme="minorHAnsi"/>
        </w:rPr>
        <w:t xml:space="preserve"> </w:t>
      </w:r>
    </w:p>
    <w:p w14:paraId="448A96B2" w14:textId="01434EAD" w:rsidR="00785D11" w:rsidRDefault="00785D11" w:rsidP="008710F5">
      <w:pPr>
        <w:jc w:val="both"/>
        <w:rPr>
          <w:rFonts w:cstheme="minorHAnsi"/>
        </w:rPr>
      </w:pPr>
      <w:r>
        <w:rPr>
          <w:rFonts w:cstheme="minorHAnsi"/>
        </w:rPr>
        <w:t xml:space="preserve">On the other hand, the aviation industry is responsible for 43% of the absolute growth in final energy used by the transport sector.  </w:t>
      </w:r>
      <w:r w:rsidRPr="00667562">
        <w:rPr>
          <w:rFonts w:cstheme="minorHAnsi"/>
        </w:rPr>
        <w:t>In 201</w:t>
      </w:r>
      <w:r>
        <w:rPr>
          <w:rFonts w:cstheme="minorHAnsi"/>
        </w:rPr>
        <w:t>8</w:t>
      </w:r>
      <w:r w:rsidRPr="00667562">
        <w:rPr>
          <w:rFonts w:cstheme="minorHAnsi"/>
        </w:rPr>
        <w:t xml:space="preserve">, the aviation industry registered a </w:t>
      </w:r>
      <w:r>
        <w:rPr>
          <w:rFonts w:cstheme="minorHAnsi"/>
        </w:rPr>
        <w:t>13.4</w:t>
      </w:r>
      <w:r w:rsidRPr="00667562">
        <w:rPr>
          <w:rFonts w:cstheme="minorHAnsi"/>
        </w:rPr>
        <w:t>% annual growth rate in the total number of aircraft movements through th</w:t>
      </w:r>
      <w:r>
        <w:rPr>
          <w:rFonts w:cstheme="minorHAnsi"/>
        </w:rPr>
        <w:t>e</w:t>
      </w:r>
      <w:r w:rsidRPr="00667562">
        <w:rPr>
          <w:rFonts w:cstheme="minorHAnsi"/>
        </w:rPr>
        <w:t xml:space="preserve"> Malta International Airport (MIA). This increase was driven by an annual growth rate of </w:t>
      </w:r>
      <w:r>
        <w:rPr>
          <w:rFonts w:cstheme="minorHAnsi"/>
        </w:rPr>
        <w:t>14.2</w:t>
      </w:r>
      <w:r w:rsidRPr="00667562">
        <w:rPr>
          <w:rFonts w:cstheme="minorHAnsi"/>
        </w:rPr>
        <w:t xml:space="preserve">% in tourist arrivals, in addition to an increase of </w:t>
      </w:r>
      <w:r>
        <w:rPr>
          <w:rFonts w:cstheme="minorHAnsi"/>
        </w:rPr>
        <w:t>9.3</w:t>
      </w:r>
      <w:r w:rsidRPr="00667562">
        <w:rPr>
          <w:rFonts w:cstheme="minorHAnsi"/>
        </w:rPr>
        <w:t>% in the total cargo weight moved through MIA</w:t>
      </w:r>
      <w:r w:rsidRPr="00667562">
        <w:rPr>
          <w:rStyle w:val="FootnoteReference"/>
          <w:rFonts w:cstheme="minorHAnsi"/>
        </w:rPr>
        <w:footnoteReference w:id="1"/>
      </w:r>
      <w:r w:rsidRPr="00667562">
        <w:rPr>
          <w:rFonts w:cstheme="minorHAnsi"/>
        </w:rPr>
        <w:t xml:space="preserve">.   </w:t>
      </w:r>
    </w:p>
    <w:p w14:paraId="1129C97A" w14:textId="6D333DF1" w:rsidR="00A45775" w:rsidRPr="00667562" w:rsidRDefault="00A45775" w:rsidP="00A45775">
      <w:pPr>
        <w:jc w:val="both"/>
        <w:rPr>
          <w:rFonts w:cstheme="minorHAnsi"/>
        </w:rPr>
      </w:pPr>
      <w:r>
        <w:rPr>
          <w:rFonts w:cstheme="minorHAnsi"/>
        </w:rPr>
        <w:t>In the industry and services sectors there is a trend of relative decoupling between final e</w:t>
      </w:r>
      <w:r w:rsidR="00546920">
        <w:rPr>
          <w:rFonts w:cstheme="minorHAnsi"/>
        </w:rPr>
        <w:t>lectricit</w:t>
      </w:r>
      <w:r>
        <w:rPr>
          <w:rFonts w:cstheme="minorHAnsi"/>
        </w:rPr>
        <w:t xml:space="preserve">y consumption and economic </w:t>
      </w:r>
      <w:r w:rsidRPr="00667562">
        <w:rPr>
          <w:rFonts w:cstheme="minorHAnsi"/>
        </w:rPr>
        <w:t xml:space="preserve">activity, because the </w:t>
      </w:r>
      <w:proofErr w:type="gramStart"/>
      <w:r w:rsidRPr="00667562">
        <w:rPr>
          <w:rFonts w:cstheme="minorHAnsi"/>
        </w:rPr>
        <w:t>positive growth</w:t>
      </w:r>
      <w:proofErr w:type="gramEnd"/>
      <w:r w:rsidRPr="00667562">
        <w:rPr>
          <w:rFonts w:cstheme="minorHAnsi"/>
        </w:rPr>
        <w:t xml:space="preserve"> rate in final e</w:t>
      </w:r>
      <w:r w:rsidR="00546920">
        <w:rPr>
          <w:rFonts w:cstheme="minorHAnsi"/>
        </w:rPr>
        <w:t>lectricity</w:t>
      </w:r>
      <w:r w:rsidRPr="00667562">
        <w:rPr>
          <w:rFonts w:cstheme="minorHAnsi"/>
        </w:rPr>
        <w:t xml:space="preserve"> use, is less than the growth rate of the gross value added (GVA) of the corresponding sector. Whilst the GVA of the industrial </w:t>
      </w:r>
      <w:r w:rsidRPr="00667562">
        <w:rPr>
          <w:rFonts w:cstheme="minorHAnsi"/>
        </w:rPr>
        <w:lastRenderedPageBreak/>
        <w:t xml:space="preserve">sectors increased by </w:t>
      </w:r>
      <w:r w:rsidR="00A73CEE">
        <w:rPr>
          <w:rFonts w:cstheme="minorHAnsi"/>
        </w:rPr>
        <w:t>8.9</w:t>
      </w:r>
      <w:r w:rsidRPr="00667562">
        <w:rPr>
          <w:rFonts w:cstheme="minorHAnsi"/>
        </w:rPr>
        <w:t>%, its e</w:t>
      </w:r>
      <w:r w:rsidR="007030C5">
        <w:rPr>
          <w:rFonts w:cstheme="minorHAnsi"/>
        </w:rPr>
        <w:t xml:space="preserve">lectricity </w:t>
      </w:r>
      <w:r w:rsidRPr="00667562">
        <w:rPr>
          <w:rFonts w:cstheme="minorHAnsi"/>
        </w:rPr>
        <w:t xml:space="preserve">consumption has </w:t>
      </w:r>
      <w:r w:rsidR="00667562">
        <w:rPr>
          <w:rFonts w:cstheme="minorHAnsi"/>
        </w:rPr>
        <w:t xml:space="preserve">increased </w:t>
      </w:r>
      <w:r w:rsidR="00B449F6" w:rsidRPr="00667562">
        <w:rPr>
          <w:rFonts w:cstheme="minorHAnsi"/>
        </w:rPr>
        <w:t xml:space="preserve">by </w:t>
      </w:r>
      <w:r w:rsidR="00667562">
        <w:rPr>
          <w:rFonts w:cstheme="minorHAnsi"/>
        </w:rPr>
        <w:t>4.6</w:t>
      </w:r>
      <w:r w:rsidRPr="00667562">
        <w:rPr>
          <w:rFonts w:cstheme="minorHAnsi"/>
        </w:rPr>
        <w:t xml:space="preserve">%. This indicates that manufacturing activities in Malta are shifting towards more energy-efficient technologies. </w:t>
      </w:r>
    </w:p>
    <w:p w14:paraId="0B23139B" w14:textId="3078F601" w:rsidR="00A45775" w:rsidRDefault="00A45775" w:rsidP="00A45775">
      <w:pPr>
        <w:jc w:val="both"/>
        <w:rPr>
          <w:rFonts w:cstheme="minorHAnsi"/>
        </w:rPr>
      </w:pPr>
      <w:r w:rsidRPr="00667562">
        <w:rPr>
          <w:rFonts w:cstheme="minorHAnsi"/>
        </w:rPr>
        <w:t xml:space="preserve">A similar pattern is observed in the services sector. Whilst its economic activity, measured in terms of GVA, grew by an annual rate of </w:t>
      </w:r>
      <w:r w:rsidR="00A028A4" w:rsidRPr="00667562">
        <w:rPr>
          <w:rFonts w:cstheme="minorHAnsi"/>
        </w:rPr>
        <w:t>8</w:t>
      </w:r>
      <w:r w:rsidR="00667562" w:rsidRPr="00667562">
        <w:rPr>
          <w:rFonts w:cstheme="minorHAnsi"/>
        </w:rPr>
        <w:t>.</w:t>
      </w:r>
      <w:r w:rsidR="00A73CEE">
        <w:rPr>
          <w:rFonts w:cstheme="minorHAnsi"/>
        </w:rPr>
        <w:t>7</w:t>
      </w:r>
      <w:r w:rsidRPr="00667562">
        <w:rPr>
          <w:rFonts w:cstheme="minorHAnsi"/>
        </w:rPr>
        <w:t>% in 201</w:t>
      </w:r>
      <w:r w:rsidR="00A028A4" w:rsidRPr="00667562">
        <w:rPr>
          <w:rFonts w:cstheme="minorHAnsi"/>
        </w:rPr>
        <w:t>8</w:t>
      </w:r>
      <w:r w:rsidRPr="00667562">
        <w:rPr>
          <w:rFonts w:cstheme="minorHAnsi"/>
        </w:rPr>
        <w:t xml:space="preserve">, the </w:t>
      </w:r>
      <w:r w:rsidRPr="00C2020A">
        <w:rPr>
          <w:rFonts w:cstheme="minorHAnsi"/>
        </w:rPr>
        <w:t>e</w:t>
      </w:r>
      <w:r w:rsidR="00D47B12" w:rsidRPr="00C2020A">
        <w:rPr>
          <w:rFonts w:cstheme="minorHAnsi"/>
        </w:rPr>
        <w:t>lectricity</w:t>
      </w:r>
      <w:r w:rsidRPr="00667562">
        <w:rPr>
          <w:rFonts w:cstheme="minorHAnsi"/>
        </w:rPr>
        <w:t xml:space="preserve"> consumption used by this sector </w:t>
      </w:r>
      <w:r w:rsidR="00856DC9">
        <w:rPr>
          <w:rFonts w:cstheme="minorHAnsi"/>
        </w:rPr>
        <w:t>increased</w:t>
      </w:r>
      <w:r w:rsidR="00A028A4" w:rsidRPr="00667562">
        <w:rPr>
          <w:rFonts w:cstheme="minorHAnsi"/>
        </w:rPr>
        <w:t xml:space="preserve"> by </w:t>
      </w:r>
      <w:r w:rsidR="00667562">
        <w:rPr>
          <w:rFonts w:cstheme="minorHAnsi"/>
        </w:rPr>
        <w:t>2.3</w:t>
      </w:r>
      <w:r w:rsidRPr="00667562">
        <w:rPr>
          <w:rFonts w:cstheme="minorHAnsi"/>
        </w:rPr>
        <w:t>% per annum. Service-based economies, including ICT, arts and entertainment are generally dependent on low energy-intensive activities. Growth in this sector, is in part explained by the growth in the number of tourist arrivals, which between January and December 201</w:t>
      </w:r>
      <w:r w:rsidR="00A028A4" w:rsidRPr="00667562">
        <w:rPr>
          <w:rFonts w:cstheme="minorHAnsi"/>
        </w:rPr>
        <w:t>8</w:t>
      </w:r>
      <w:r w:rsidRPr="00667562">
        <w:rPr>
          <w:rFonts w:cstheme="minorHAnsi"/>
        </w:rPr>
        <w:t>, stood at 2.</w:t>
      </w:r>
      <w:r w:rsidR="00A028A4" w:rsidRPr="00667562">
        <w:rPr>
          <w:rFonts w:cstheme="minorHAnsi"/>
        </w:rPr>
        <w:t>63</w:t>
      </w:r>
      <w:r w:rsidRPr="00667562">
        <w:rPr>
          <w:rFonts w:cstheme="minorHAnsi"/>
        </w:rPr>
        <w:t xml:space="preserve"> million, accounting to an absolute increase of more than </w:t>
      </w:r>
      <w:r w:rsidR="00A028A4" w:rsidRPr="00667562">
        <w:rPr>
          <w:rFonts w:cstheme="minorHAnsi"/>
        </w:rPr>
        <w:t>319</w:t>
      </w:r>
      <w:r w:rsidRPr="00667562">
        <w:rPr>
          <w:rFonts w:cstheme="minorHAnsi"/>
        </w:rPr>
        <w:t>,000 inbound tourists over the same period in 201</w:t>
      </w:r>
      <w:r w:rsidR="00A028A4" w:rsidRPr="00667562">
        <w:rPr>
          <w:rFonts w:cstheme="minorHAnsi"/>
        </w:rPr>
        <w:t>7</w:t>
      </w:r>
      <w:r w:rsidRPr="00667562">
        <w:rPr>
          <w:rFonts w:cstheme="minorHAnsi"/>
        </w:rPr>
        <w:t>.</w:t>
      </w:r>
      <w:r>
        <w:rPr>
          <w:rFonts w:cstheme="minorHAnsi"/>
        </w:rPr>
        <w:t xml:space="preserve"> </w:t>
      </w:r>
    </w:p>
    <w:p w14:paraId="5BB3E352" w14:textId="097BF886" w:rsidR="00A45775" w:rsidRDefault="00A45775" w:rsidP="00A45775">
      <w:pPr>
        <w:jc w:val="both"/>
        <w:rPr>
          <w:rFonts w:cstheme="minorHAnsi"/>
        </w:rPr>
      </w:pPr>
      <w:r>
        <w:rPr>
          <w:rFonts w:cstheme="minorHAnsi"/>
        </w:rPr>
        <w:t xml:space="preserve">As for the residential sector, the energy household consumption increased by </w:t>
      </w:r>
      <w:r w:rsidR="00667562">
        <w:rPr>
          <w:rFonts w:cstheme="minorHAnsi"/>
        </w:rPr>
        <w:t>3.8</w:t>
      </w:r>
      <w:r>
        <w:rPr>
          <w:rFonts w:cstheme="minorHAnsi"/>
        </w:rPr>
        <w:t xml:space="preserve">%. This occurred in a context of annual growth of </w:t>
      </w:r>
      <w:r w:rsidR="00667562">
        <w:rPr>
          <w:rFonts w:cstheme="minorHAnsi"/>
        </w:rPr>
        <w:t>8.6</w:t>
      </w:r>
      <w:r>
        <w:rPr>
          <w:rFonts w:cstheme="minorHAnsi"/>
        </w:rPr>
        <w:t>% in total household expenditure and 3.</w:t>
      </w:r>
      <w:r w:rsidR="00667562">
        <w:rPr>
          <w:rFonts w:cstheme="minorHAnsi"/>
        </w:rPr>
        <w:t>8</w:t>
      </w:r>
      <w:r>
        <w:rPr>
          <w:rFonts w:cstheme="minorHAnsi"/>
        </w:rPr>
        <w:t>% in total population level</w:t>
      </w:r>
      <w:r w:rsidR="00922A9D">
        <w:rPr>
          <w:rFonts w:cstheme="minorHAnsi"/>
          <w:lang w:val="mt-MT"/>
        </w:rPr>
        <w:t xml:space="preserve"> mainly driven by net </w:t>
      </w:r>
      <w:r w:rsidR="000C5602">
        <w:rPr>
          <w:rFonts w:cstheme="minorHAnsi"/>
          <w:lang w:val="mt-MT"/>
        </w:rPr>
        <w:t>im</w:t>
      </w:r>
      <w:r w:rsidR="00922A9D">
        <w:rPr>
          <w:rFonts w:cstheme="minorHAnsi"/>
          <w:lang w:val="mt-MT"/>
        </w:rPr>
        <w:t>migration</w:t>
      </w:r>
      <w:r>
        <w:rPr>
          <w:rFonts w:cstheme="minorHAnsi"/>
        </w:rPr>
        <w:t xml:space="preserve">. </w:t>
      </w:r>
      <w:r w:rsidR="006479B0">
        <w:rPr>
          <w:rFonts w:cstheme="minorHAnsi"/>
        </w:rPr>
        <w:t xml:space="preserve">The share of electricity consumption </w:t>
      </w:r>
      <w:r w:rsidR="00A556E7">
        <w:rPr>
          <w:rFonts w:cstheme="minorHAnsi"/>
        </w:rPr>
        <w:t>from</w:t>
      </w:r>
      <w:r w:rsidR="006479B0">
        <w:rPr>
          <w:rFonts w:cstheme="minorHAnsi"/>
        </w:rPr>
        <w:t xml:space="preserve"> total final</w:t>
      </w:r>
      <w:r w:rsidR="00A556E7">
        <w:rPr>
          <w:rFonts w:cstheme="minorHAnsi"/>
        </w:rPr>
        <w:t xml:space="preserve"> electricity </w:t>
      </w:r>
      <w:r w:rsidR="006479B0">
        <w:rPr>
          <w:rFonts w:cstheme="minorHAnsi"/>
        </w:rPr>
        <w:t>consumption remains stable at 31%.</w:t>
      </w:r>
    </w:p>
    <w:p w14:paraId="5A72427A" w14:textId="6F67E636" w:rsidR="00C1572F" w:rsidRDefault="001D46FF" w:rsidP="00C1572F">
      <w:pPr>
        <w:jc w:val="both"/>
        <w:rPr>
          <w:sz w:val="23"/>
          <w:szCs w:val="23"/>
        </w:rPr>
      </w:pPr>
      <w:r>
        <w:rPr>
          <w:sz w:val="23"/>
          <w:szCs w:val="23"/>
        </w:rPr>
        <w:tab/>
      </w:r>
    </w:p>
    <w:p w14:paraId="6C6D32DC" w14:textId="77777777" w:rsidR="00885F45" w:rsidRDefault="00CF1827" w:rsidP="00CF1827">
      <w:pPr>
        <w:pStyle w:val="Heading1"/>
      </w:pPr>
      <w:bookmarkStart w:id="7" w:name="_Toc6229942"/>
      <w:r>
        <w:t>Major legislative and non-legislative measures</w:t>
      </w:r>
      <w:bookmarkEnd w:id="7"/>
    </w:p>
    <w:p w14:paraId="34451B62" w14:textId="77777777" w:rsidR="00041C17" w:rsidRDefault="00041C17" w:rsidP="00041C17"/>
    <w:p w14:paraId="5A384303" w14:textId="5780F675" w:rsidR="00C1572F" w:rsidRDefault="0048448C" w:rsidP="00041C17">
      <w:r>
        <w:t>A list of u</w:t>
      </w:r>
      <w:r w:rsidR="0053189A" w:rsidRPr="00321BED">
        <w:t xml:space="preserve">pdates on major legislative and non-legislative measures implemented in </w:t>
      </w:r>
      <w:r w:rsidR="00C1572F" w:rsidRPr="00321BED">
        <w:t>201</w:t>
      </w:r>
      <w:r w:rsidR="00C04934">
        <w:t>9</w:t>
      </w:r>
      <w:r w:rsidR="0053189A" w:rsidRPr="00321BED">
        <w:t xml:space="preserve"> which contribute towards the overall national efficiency targets for 2020</w:t>
      </w:r>
      <w:r w:rsidR="00041C17">
        <w:t xml:space="preserve"> are listed below.</w:t>
      </w:r>
    </w:p>
    <w:p w14:paraId="44021DDE" w14:textId="425B8023" w:rsidR="00442846" w:rsidRPr="00606079" w:rsidRDefault="00C1572F" w:rsidP="00C1572F">
      <w:pPr>
        <w:jc w:val="both"/>
        <w:rPr>
          <w:rFonts w:cstheme="minorHAnsi"/>
          <w:b/>
          <w:bCs/>
          <w:i/>
        </w:rPr>
      </w:pPr>
      <w:r w:rsidRPr="00606079">
        <w:rPr>
          <w:rFonts w:cstheme="minorHAnsi"/>
          <w:b/>
          <w:bCs/>
          <w:i/>
          <w:u w:val="single"/>
        </w:rPr>
        <w:t>Legal Notices</w:t>
      </w:r>
      <w:r w:rsidRPr="00606079">
        <w:rPr>
          <w:rFonts w:cstheme="minorHAnsi"/>
          <w:b/>
          <w:bCs/>
          <w:i/>
        </w:rPr>
        <w:t>:</w:t>
      </w:r>
    </w:p>
    <w:p w14:paraId="2040A3D1" w14:textId="3EC74CF5" w:rsidR="004E7CD7" w:rsidRDefault="004E7CD7" w:rsidP="0012557F">
      <w:pPr>
        <w:pStyle w:val="ListParagraph"/>
        <w:numPr>
          <w:ilvl w:val="0"/>
          <w:numId w:val="14"/>
        </w:numPr>
        <w:jc w:val="both"/>
        <w:rPr>
          <w:rFonts w:cstheme="minorHAnsi"/>
          <w:i/>
        </w:rPr>
      </w:pPr>
      <w:r w:rsidRPr="0012557F">
        <w:rPr>
          <w:rFonts w:cstheme="minorHAnsi"/>
          <w:i/>
        </w:rPr>
        <w:t xml:space="preserve">LN </w:t>
      </w:r>
      <w:r w:rsidR="00C8309D">
        <w:rPr>
          <w:rFonts w:cstheme="minorHAnsi"/>
          <w:i/>
        </w:rPr>
        <w:t>2</w:t>
      </w:r>
      <w:r w:rsidR="00C8309D" w:rsidRPr="0012557F">
        <w:rPr>
          <w:rFonts w:cstheme="minorHAnsi"/>
          <w:i/>
        </w:rPr>
        <w:t xml:space="preserve"> </w:t>
      </w:r>
      <w:r w:rsidRPr="0012557F">
        <w:rPr>
          <w:rFonts w:cstheme="minorHAnsi"/>
          <w:i/>
        </w:rPr>
        <w:t xml:space="preserve">of </w:t>
      </w:r>
      <w:r w:rsidR="00C8309D" w:rsidRPr="0012557F">
        <w:rPr>
          <w:rFonts w:cstheme="minorHAnsi"/>
          <w:i/>
        </w:rPr>
        <w:t>201</w:t>
      </w:r>
      <w:r w:rsidR="00C8309D">
        <w:rPr>
          <w:rFonts w:cstheme="minorHAnsi"/>
          <w:i/>
        </w:rPr>
        <w:t>9</w:t>
      </w:r>
      <w:r w:rsidR="00C8309D" w:rsidRPr="0012557F">
        <w:rPr>
          <w:rFonts w:cstheme="minorHAnsi"/>
          <w:i/>
        </w:rPr>
        <w:t xml:space="preserve"> </w:t>
      </w:r>
      <w:r w:rsidRPr="0012557F">
        <w:rPr>
          <w:rFonts w:cstheme="minorHAnsi"/>
          <w:i/>
        </w:rPr>
        <w:t xml:space="preserve">– Feed in Tariffs Scheme (Electricity Generated from Solar Photovoltaic Installations) (Amendment No 2) Regulations, </w:t>
      </w:r>
      <w:r w:rsidR="00C8309D" w:rsidRPr="0012557F">
        <w:rPr>
          <w:rFonts w:cstheme="minorHAnsi"/>
          <w:i/>
        </w:rPr>
        <w:t>201</w:t>
      </w:r>
      <w:r w:rsidR="00C8309D">
        <w:rPr>
          <w:rFonts w:cstheme="minorHAnsi"/>
          <w:i/>
        </w:rPr>
        <w:t>9</w:t>
      </w:r>
    </w:p>
    <w:p w14:paraId="241BF41C" w14:textId="0F717A57" w:rsidR="00C8309D" w:rsidRPr="0021746A" w:rsidRDefault="00C8309D" w:rsidP="00C8309D">
      <w:pPr>
        <w:pStyle w:val="ListParagraph"/>
        <w:numPr>
          <w:ilvl w:val="0"/>
          <w:numId w:val="14"/>
        </w:numPr>
        <w:jc w:val="both"/>
        <w:rPr>
          <w:rFonts w:cstheme="minorHAnsi"/>
          <w:i/>
        </w:rPr>
      </w:pPr>
      <w:r w:rsidRPr="0012557F">
        <w:rPr>
          <w:rFonts w:cstheme="minorHAnsi"/>
          <w:i/>
        </w:rPr>
        <w:t xml:space="preserve">LN </w:t>
      </w:r>
      <w:r>
        <w:rPr>
          <w:rFonts w:cstheme="minorHAnsi"/>
          <w:i/>
        </w:rPr>
        <w:t>171</w:t>
      </w:r>
      <w:r w:rsidRPr="0012557F">
        <w:rPr>
          <w:rFonts w:cstheme="minorHAnsi"/>
          <w:i/>
        </w:rPr>
        <w:t xml:space="preserve"> of 201</w:t>
      </w:r>
      <w:r>
        <w:rPr>
          <w:rFonts w:cstheme="minorHAnsi"/>
          <w:i/>
        </w:rPr>
        <w:t>9</w:t>
      </w:r>
      <w:r w:rsidRPr="0012557F">
        <w:rPr>
          <w:rFonts w:cstheme="minorHAnsi"/>
          <w:i/>
        </w:rPr>
        <w:t xml:space="preserve"> – Feed in Tariffs Scheme (Electricity Generated from Solar Photovoltaic Installations) (Amendment No 2) Regulations, 201</w:t>
      </w:r>
      <w:r>
        <w:rPr>
          <w:rFonts w:cstheme="minorHAnsi"/>
          <w:i/>
        </w:rPr>
        <w:t>9</w:t>
      </w:r>
    </w:p>
    <w:p w14:paraId="40B5CF1B" w14:textId="4B4FA13F" w:rsidR="004E7CD7" w:rsidRPr="0012557F" w:rsidRDefault="007B10D4" w:rsidP="004E7CD7">
      <w:pPr>
        <w:jc w:val="both"/>
        <w:rPr>
          <w:rFonts w:cstheme="minorHAnsi"/>
        </w:rPr>
      </w:pPr>
      <w:r>
        <w:rPr>
          <w:rFonts w:cstheme="minorHAnsi"/>
          <w:i/>
        </w:rPr>
        <w:t>-</w:t>
      </w:r>
      <w:r w:rsidR="00606079">
        <w:rPr>
          <w:rFonts w:cstheme="minorHAnsi"/>
          <w:i/>
        </w:rPr>
        <w:t xml:space="preserve"> </w:t>
      </w:r>
      <w:r w:rsidR="004E7CD7" w:rsidRPr="0012557F">
        <w:rPr>
          <w:rFonts w:cstheme="minorHAnsi"/>
        </w:rPr>
        <w:t>The above amendments refer to updates to the feed-in tariffs scheme.</w:t>
      </w:r>
    </w:p>
    <w:p w14:paraId="50A10146" w14:textId="1C68E6C4" w:rsidR="00C1572F" w:rsidRDefault="007B10D4" w:rsidP="0021746A">
      <w:pPr>
        <w:pStyle w:val="ListParagraph"/>
        <w:rPr>
          <w:rFonts w:cstheme="minorHAnsi"/>
          <w:bCs/>
        </w:rPr>
      </w:pPr>
      <w:r w:rsidRPr="0021746A">
        <w:rPr>
          <w:rFonts w:cstheme="minorHAnsi"/>
          <w:bCs/>
        </w:rPr>
        <w:t xml:space="preserve">L.N. 336 of 2019 </w:t>
      </w:r>
      <w:r w:rsidRPr="0021746A">
        <w:rPr>
          <w:rFonts w:cstheme="minorHAnsi"/>
          <w:bCs/>
        </w:rPr>
        <w:noBreakHyphen/>
        <w:t xml:space="preserve"> Energy Efficiency and Cogeneration (Amendment) Regulations, 2019</w:t>
      </w:r>
    </w:p>
    <w:p w14:paraId="7F69B9ED" w14:textId="306F0E5F" w:rsidR="00A405FC" w:rsidRDefault="00A405FC" w:rsidP="0021746A">
      <w:pPr>
        <w:pStyle w:val="ListParagraph"/>
        <w:rPr>
          <w:rFonts w:cstheme="minorHAnsi"/>
          <w:bCs/>
        </w:rPr>
      </w:pPr>
    </w:p>
    <w:p w14:paraId="659C41F7" w14:textId="65466A62" w:rsidR="0018739E" w:rsidRPr="00606079" w:rsidRDefault="00C1572F" w:rsidP="00CD7410">
      <w:pPr>
        <w:rPr>
          <w:rFonts w:cstheme="minorHAnsi"/>
          <w:b/>
          <w:bCs/>
          <w:i/>
        </w:rPr>
      </w:pPr>
      <w:r w:rsidRPr="00606079">
        <w:rPr>
          <w:rFonts w:cstheme="minorHAnsi"/>
          <w:b/>
          <w:bCs/>
          <w:i/>
          <w:u w:val="single"/>
        </w:rPr>
        <w:t>Government Notices</w:t>
      </w:r>
      <w:r w:rsidRPr="00606079">
        <w:rPr>
          <w:rFonts w:cstheme="minorHAnsi"/>
          <w:b/>
          <w:bCs/>
          <w:i/>
        </w:rPr>
        <w:t>:</w:t>
      </w:r>
    </w:p>
    <w:p w14:paraId="3CF88D4B" w14:textId="77777777" w:rsidR="00A47258" w:rsidRPr="0012557F" w:rsidRDefault="00A47258" w:rsidP="00A47258">
      <w:pPr>
        <w:pStyle w:val="ListParagraph"/>
        <w:numPr>
          <w:ilvl w:val="0"/>
          <w:numId w:val="15"/>
        </w:numPr>
        <w:jc w:val="both"/>
        <w:rPr>
          <w:rFonts w:cstheme="minorHAnsi"/>
          <w:bCs/>
          <w:i/>
          <w:sz w:val="23"/>
          <w:szCs w:val="23"/>
        </w:rPr>
      </w:pPr>
      <w:r w:rsidRPr="0012557F">
        <w:rPr>
          <w:rFonts w:cstheme="minorHAnsi"/>
          <w:bCs/>
          <w:i/>
          <w:sz w:val="23"/>
          <w:szCs w:val="23"/>
        </w:rPr>
        <w:lastRenderedPageBreak/>
        <w:t>Government Notice</w:t>
      </w:r>
      <w:r>
        <w:rPr>
          <w:rFonts w:cstheme="minorHAnsi"/>
          <w:bCs/>
          <w:i/>
          <w:sz w:val="23"/>
          <w:szCs w:val="23"/>
        </w:rPr>
        <w:t xml:space="preserve"> 120</w:t>
      </w:r>
      <w:r w:rsidRPr="0012557F">
        <w:rPr>
          <w:rFonts w:cstheme="minorHAnsi"/>
          <w:bCs/>
          <w:i/>
          <w:sz w:val="23"/>
          <w:szCs w:val="23"/>
        </w:rPr>
        <w:t xml:space="preserve"> of 201</w:t>
      </w:r>
      <w:r>
        <w:rPr>
          <w:rFonts w:cstheme="minorHAnsi"/>
          <w:bCs/>
          <w:i/>
          <w:sz w:val="23"/>
          <w:szCs w:val="23"/>
        </w:rPr>
        <w:t>9</w:t>
      </w:r>
    </w:p>
    <w:p w14:paraId="265147B2" w14:textId="77777777" w:rsidR="00A47258" w:rsidRPr="00FF6F3E" w:rsidRDefault="00A47258" w:rsidP="00A47258">
      <w:pPr>
        <w:jc w:val="both"/>
        <w:rPr>
          <w:rFonts w:cstheme="minorHAnsi"/>
          <w:sz w:val="23"/>
          <w:szCs w:val="23"/>
        </w:rPr>
      </w:pPr>
      <w:r w:rsidRPr="00FF6F3E">
        <w:rPr>
          <w:rFonts w:cstheme="minorHAnsi"/>
          <w:sz w:val="23"/>
          <w:szCs w:val="23"/>
        </w:rPr>
        <w:t>Government Grant on the Purchase of Environment-friendly Vehicles</w:t>
      </w:r>
    </w:p>
    <w:p w14:paraId="3513E552" w14:textId="77777777" w:rsidR="00A47258" w:rsidRPr="00FF6F3E" w:rsidRDefault="00A47258" w:rsidP="00A47258">
      <w:pPr>
        <w:pStyle w:val="ListParagraph"/>
        <w:numPr>
          <w:ilvl w:val="0"/>
          <w:numId w:val="15"/>
        </w:numPr>
        <w:jc w:val="both"/>
        <w:rPr>
          <w:rFonts w:cstheme="minorHAnsi"/>
          <w:i/>
          <w:iCs/>
          <w:sz w:val="23"/>
          <w:szCs w:val="23"/>
        </w:rPr>
      </w:pPr>
      <w:r w:rsidRPr="00FF6F3E">
        <w:rPr>
          <w:rFonts w:cstheme="minorHAnsi"/>
          <w:i/>
          <w:iCs/>
          <w:sz w:val="23"/>
          <w:szCs w:val="23"/>
        </w:rPr>
        <w:t xml:space="preserve">Government Notice 192 of 2019 </w:t>
      </w:r>
    </w:p>
    <w:p w14:paraId="5BF40F37" w14:textId="1F020892" w:rsidR="00A47258" w:rsidRPr="003611AE" w:rsidRDefault="00A47258" w:rsidP="003611AE">
      <w:pPr>
        <w:jc w:val="both"/>
        <w:rPr>
          <w:rFonts w:cstheme="minorHAnsi"/>
          <w:sz w:val="23"/>
          <w:szCs w:val="23"/>
        </w:rPr>
      </w:pPr>
      <w:r w:rsidRPr="00FF6F3E">
        <w:rPr>
          <w:rFonts w:cstheme="minorHAnsi"/>
          <w:sz w:val="23"/>
          <w:szCs w:val="23"/>
        </w:rPr>
        <w:t xml:space="preserve">A Grant on the Purchase of Photovoltaic Systems in the Domestic Sector </w:t>
      </w:r>
      <w:proofErr w:type="gramStart"/>
      <w:r w:rsidRPr="00FF6F3E">
        <w:rPr>
          <w:rFonts w:cstheme="minorHAnsi"/>
          <w:sz w:val="23"/>
          <w:szCs w:val="23"/>
        </w:rPr>
        <w:t>–  Call</w:t>
      </w:r>
      <w:proofErr w:type="gramEnd"/>
      <w:r w:rsidRPr="00FF6F3E">
        <w:rPr>
          <w:rFonts w:cstheme="minorHAnsi"/>
          <w:sz w:val="23"/>
          <w:szCs w:val="23"/>
        </w:rPr>
        <w:t xml:space="preserve"> 2016/PV</w:t>
      </w:r>
    </w:p>
    <w:p w14:paraId="127C421C" w14:textId="5E62E5B0" w:rsidR="0018739E" w:rsidRPr="0021746A" w:rsidRDefault="0018739E" w:rsidP="0021746A">
      <w:pPr>
        <w:pStyle w:val="ListParagraph"/>
        <w:numPr>
          <w:ilvl w:val="0"/>
          <w:numId w:val="26"/>
        </w:numPr>
        <w:rPr>
          <w:rFonts w:cstheme="minorHAnsi"/>
          <w:i/>
        </w:rPr>
      </w:pPr>
      <w:r w:rsidRPr="0021746A">
        <w:rPr>
          <w:rFonts w:cstheme="minorHAnsi"/>
          <w:i/>
        </w:rPr>
        <w:t>Government Notice</w:t>
      </w:r>
      <w:r>
        <w:rPr>
          <w:rFonts w:cstheme="minorHAnsi"/>
          <w:i/>
        </w:rPr>
        <w:t xml:space="preserve"> 368</w:t>
      </w:r>
      <w:r w:rsidR="00DF5999">
        <w:rPr>
          <w:rFonts w:cstheme="minorHAnsi"/>
          <w:i/>
        </w:rPr>
        <w:t xml:space="preserve"> of 2019</w:t>
      </w:r>
    </w:p>
    <w:p w14:paraId="075A3658" w14:textId="77777777" w:rsidR="00A47258" w:rsidRPr="008E7A9A" w:rsidRDefault="00FF6F3E" w:rsidP="007946E7">
      <w:pPr>
        <w:jc w:val="both"/>
        <w:rPr>
          <w:rFonts w:cstheme="minorHAnsi"/>
          <w:iCs/>
          <w:sz w:val="23"/>
          <w:szCs w:val="23"/>
        </w:rPr>
      </w:pPr>
      <w:r w:rsidRPr="008E7A9A">
        <w:rPr>
          <w:rFonts w:cstheme="minorHAnsi"/>
          <w:iCs/>
          <w:sz w:val="23"/>
          <w:szCs w:val="23"/>
        </w:rPr>
        <w:t xml:space="preserve">Energy Efficiency Scheme for Sport Organisation          </w:t>
      </w:r>
    </w:p>
    <w:p w14:paraId="2AE37D8D" w14:textId="77777777" w:rsidR="00A47258" w:rsidRPr="00ED6485" w:rsidRDefault="00A47258" w:rsidP="00A47258">
      <w:pPr>
        <w:pStyle w:val="ListParagraph"/>
        <w:numPr>
          <w:ilvl w:val="0"/>
          <w:numId w:val="15"/>
        </w:numPr>
        <w:jc w:val="both"/>
        <w:rPr>
          <w:rFonts w:cstheme="minorHAnsi"/>
          <w:i/>
          <w:iCs/>
          <w:sz w:val="23"/>
          <w:szCs w:val="23"/>
        </w:rPr>
      </w:pPr>
      <w:r w:rsidRPr="00ED6485">
        <w:rPr>
          <w:rFonts w:cstheme="minorHAnsi"/>
          <w:i/>
          <w:iCs/>
          <w:sz w:val="23"/>
          <w:szCs w:val="23"/>
        </w:rPr>
        <w:t>Government Notice 599 of 2019</w:t>
      </w:r>
    </w:p>
    <w:p w14:paraId="74544ACF" w14:textId="77777777" w:rsidR="00A47258" w:rsidRDefault="00A47258" w:rsidP="00A47258">
      <w:pPr>
        <w:jc w:val="both"/>
        <w:rPr>
          <w:rFonts w:cstheme="minorHAnsi"/>
          <w:sz w:val="23"/>
          <w:szCs w:val="23"/>
        </w:rPr>
      </w:pPr>
      <w:r w:rsidRPr="00ED6485">
        <w:rPr>
          <w:rFonts w:cstheme="minorHAnsi"/>
          <w:sz w:val="23"/>
          <w:szCs w:val="23"/>
        </w:rPr>
        <w:t xml:space="preserve">A grant on the purchase of Systems for Domestic Use that Reduce the Consumption of </w:t>
      </w:r>
      <w:proofErr w:type="gramStart"/>
      <w:r w:rsidRPr="00ED6485">
        <w:rPr>
          <w:rFonts w:cstheme="minorHAnsi"/>
          <w:sz w:val="23"/>
          <w:szCs w:val="23"/>
        </w:rPr>
        <w:t>Energy  –</w:t>
      </w:r>
      <w:proofErr w:type="gramEnd"/>
      <w:r w:rsidRPr="00ED6485">
        <w:rPr>
          <w:rFonts w:cstheme="minorHAnsi"/>
          <w:sz w:val="23"/>
          <w:szCs w:val="23"/>
        </w:rPr>
        <w:t>  Call 2018/RIDG</w:t>
      </w:r>
    </w:p>
    <w:p w14:paraId="6E306BAF" w14:textId="48E9C241" w:rsidR="003611AE" w:rsidRDefault="00FF6F3E" w:rsidP="003611AE">
      <w:pPr>
        <w:pStyle w:val="ListParagraph"/>
        <w:numPr>
          <w:ilvl w:val="0"/>
          <w:numId w:val="15"/>
        </w:numPr>
        <w:jc w:val="both"/>
        <w:rPr>
          <w:rFonts w:cstheme="minorHAnsi"/>
          <w:i/>
          <w:iCs/>
          <w:sz w:val="23"/>
          <w:szCs w:val="23"/>
        </w:rPr>
      </w:pPr>
      <w:r>
        <w:rPr>
          <w:rFonts w:cstheme="minorHAnsi"/>
          <w:iCs/>
        </w:rPr>
        <w:t xml:space="preserve"> </w:t>
      </w:r>
      <w:r w:rsidR="003611AE" w:rsidRPr="0064496E">
        <w:rPr>
          <w:rFonts w:cstheme="minorHAnsi"/>
          <w:i/>
          <w:iCs/>
          <w:sz w:val="23"/>
          <w:szCs w:val="23"/>
        </w:rPr>
        <w:t xml:space="preserve">Government Notice 1090 of 2019 </w:t>
      </w:r>
    </w:p>
    <w:p w14:paraId="4ACE25AF" w14:textId="01E1B4A8" w:rsidR="00606079" w:rsidRPr="00606079" w:rsidRDefault="00606079" w:rsidP="00606079">
      <w:pPr>
        <w:ind w:left="360"/>
        <w:jc w:val="both"/>
        <w:rPr>
          <w:rFonts w:cstheme="minorHAnsi"/>
          <w:sz w:val="23"/>
          <w:szCs w:val="23"/>
        </w:rPr>
      </w:pPr>
      <w:r w:rsidRPr="00606079">
        <w:rPr>
          <w:rFonts w:cstheme="minorHAnsi"/>
          <w:sz w:val="23"/>
          <w:szCs w:val="23"/>
        </w:rPr>
        <w:t>Scheme for the Promotion of Renewable Energy Sources for Voluntary Organisations</w:t>
      </w:r>
    </w:p>
    <w:p w14:paraId="667EF0FD" w14:textId="77777777" w:rsidR="00606079" w:rsidRPr="00606079" w:rsidRDefault="00606079" w:rsidP="00606079">
      <w:pPr>
        <w:pStyle w:val="ListParagraph"/>
        <w:jc w:val="both"/>
        <w:rPr>
          <w:rFonts w:cstheme="minorHAnsi"/>
          <w:i/>
          <w:iCs/>
          <w:sz w:val="23"/>
          <w:szCs w:val="23"/>
        </w:rPr>
      </w:pPr>
    </w:p>
    <w:p w14:paraId="76D4417B" w14:textId="6A089668" w:rsidR="00606079" w:rsidRPr="00606079" w:rsidRDefault="00606079" w:rsidP="00606079">
      <w:pPr>
        <w:pStyle w:val="ListParagraph"/>
        <w:numPr>
          <w:ilvl w:val="0"/>
          <w:numId w:val="15"/>
        </w:numPr>
        <w:jc w:val="both"/>
        <w:rPr>
          <w:rFonts w:cstheme="minorHAnsi"/>
          <w:i/>
          <w:iCs/>
          <w:sz w:val="23"/>
          <w:szCs w:val="23"/>
        </w:rPr>
      </w:pPr>
      <w:r w:rsidRPr="00606079">
        <w:rPr>
          <w:rFonts w:cstheme="minorHAnsi"/>
          <w:i/>
          <w:iCs/>
          <w:sz w:val="23"/>
          <w:szCs w:val="23"/>
        </w:rPr>
        <w:t>Government Notice 1573 of 2019</w:t>
      </w:r>
    </w:p>
    <w:p w14:paraId="47E0F33C" w14:textId="77777777" w:rsidR="00606079" w:rsidRDefault="00606079" w:rsidP="00606079">
      <w:pPr>
        <w:jc w:val="both"/>
        <w:rPr>
          <w:rFonts w:cstheme="minorHAnsi"/>
          <w:sz w:val="23"/>
          <w:szCs w:val="23"/>
        </w:rPr>
      </w:pPr>
      <w:r w:rsidRPr="0064496E">
        <w:rPr>
          <w:rFonts w:cstheme="minorHAnsi"/>
          <w:sz w:val="23"/>
          <w:szCs w:val="23"/>
        </w:rPr>
        <w:t>Government Grants Scheme for the Purchase of Electric Vehicles, Electric Motorcycles, Electric Mopeds, Electric Tricycles and Pedal Electric Bicycles (</w:t>
      </w:r>
      <w:proofErr w:type="spellStart"/>
      <w:r w:rsidRPr="0064496E">
        <w:rPr>
          <w:rFonts w:cstheme="minorHAnsi"/>
          <w:sz w:val="23"/>
          <w:szCs w:val="23"/>
        </w:rPr>
        <w:t>Pedelec</w:t>
      </w:r>
      <w:proofErr w:type="spellEnd"/>
      <w:r w:rsidRPr="0064496E">
        <w:rPr>
          <w:rFonts w:cstheme="minorHAnsi"/>
          <w:sz w:val="23"/>
          <w:szCs w:val="23"/>
        </w:rPr>
        <w:t>) for Private Individuals, Local Councils,</w:t>
      </w:r>
    </w:p>
    <w:p w14:paraId="126A77FF" w14:textId="77777777" w:rsidR="00606079" w:rsidRPr="0064496E" w:rsidRDefault="00606079" w:rsidP="00606079">
      <w:pPr>
        <w:pStyle w:val="ListParagraph"/>
        <w:numPr>
          <w:ilvl w:val="0"/>
          <w:numId w:val="15"/>
        </w:numPr>
        <w:jc w:val="both"/>
        <w:rPr>
          <w:rFonts w:cstheme="minorHAnsi"/>
          <w:i/>
          <w:iCs/>
          <w:sz w:val="23"/>
          <w:szCs w:val="23"/>
        </w:rPr>
      </w:pPr>
      <w:r w:rsidRPr="0064496E">
        <w:rPr>
          <w:rFonts w:cstheme="minorHAnsi"/>
          <w:i/>
          <w:iCs/>
          <w:sz w:val="23"/>
          <w:szCs w:val="23"/>
        </w:rPr>
        <w:t xml:space="preserve">Government Notice 1593 of 2019 </w:t>
      </w:r>
    </w:p>
    <w:p w14:paraId="198A33CD" w14:textId="77777777" w:rsidR="00606079" w:rsidRDefault="00606079" w:rsidP="00606079">
      <w:pPr>
        <w:jc w:val="both"/>
        <w:rPr>
          <w:rFonts w:cstheme="minorHAnsi"/>
          <w:sz w:val="23"/>
          <w:szCs w:val="23"/>
        </w:rPr>
      </w:pPr>
      <w:r w:rsidRPr="0064496E">
        <w:rPr>
          <w:rFonts w:cstheme="minorHAnsi"/>
          <w:sz w:val="23"/>
          <w:szCs w:val="23"/>
        </w:rPr>
        <w:t>Government Scheme to Incentivise more Autogas Powered Vehicles</w:t>
      </w:r>
    </w:p>
    <w:p w14:paraId="65F201DB" w14:textId="77777777" w:rsidR="00606079" w:rsidRPr="00454E11" w:rsidRDefault="00606079" w:rsidP="00606079">
      <w:pPr>
        <w:pStyle w:val="ListParagraph"/>
        <w:numPr>
          <w:ilvl w:val="0"/>
          <w:numId w:val="27"/>
        </w:numPr>
        <w:jc w:val="both"/>
        <w:rPr>
          <w:rFonts w:cstheme="minorHAnsi"/>
          <w:i/>
          <w:iCs/>
        </w:rPr>
      </w:pPr>
      <w:r w:rsidRPr="00454E11">
        <w:rPr>
          <w:rFonts w:cstheme="minorHAnsi"/>
          <w:i/>
          <w:iCs/>
        </w:rPr>
        <w:t xml:space="preserve">Government Notice 1623 of 2019 </w:t>
      </w:r>
    </w:p>
    <w:p w14:paraId="3457FE51" w14:textId="3C3304E9" w:rsidR="0018739E" w:rsidRDefault="00606079" w:rsidP="007946E7">
      <w:pPr>
        <w:jc w:val="both"/>
        <w:rPr>
          <w:rFonts w:cstheme="minorHAnsi"/>
        </w:rPr>
      </w:pPr>
      <w:r w:rsidRPr="00454E11">
        <w:rPr>
          <w:rFonts w:cstheme="minorHAnsi"/>
        </w:rPr>
        <w:t>Notice of Renewal of Scheme Established by means of Government Notice No. 408 of 2018</w:t>
      </w:r>
    </w:p>
    <w:p w14:paraId="0643EAC6" w14:textId="63E89955" w:rsidR="0018739E" w:rsidRPr="0021746A" w:rsidRDefault="0018739E" w:rsidP="0021746A">
      <w:pPr>
        <w:pStyle w:val="ListParagraph"/>
        <w:numPr>
          <w:ilvl w:val="0"/>
          <w:numId w:val="26"/>
        </w:numPr>
        <w:jc w:val="both"/>
        <w:rPr>
          <w:rFonts w:cstheme="minorHAnsi"/>
          <w:i/>
        </w:rPr>
      </w:pPr>
      <w:r w:rsidRPr="0021746A">
        <w:rPr>
          <w:rFonts w:cstheme="minorHAnsi"/>
          <w:i/>
        </w:rPr>
        <w:lastRenderedPageBreak/>
        <w:t>Government Notice</w:t>
      </w:r>
      <w:r w:rsidR="00DF5999">
        <w:rPr>
          <w:rFonts w:cstheme="minorHAnsi"/>
          <w:i/>
        </w:rPr>
        <w:t xml:space="preserve"> </w:t>
      </w:r>
      <w:r>
        <w:rPr>
          <w:rFonts w:cstheme="minorHAnsi"/>
          <w:i/>
        </w:rPr>
        <w:t>1643</w:t>
      </w:r>
      <w:r w:rsidR="00DF5999">
        <w:rPr>
          <w:rFonts w:cstheme="minorHAnsi"/>
          <w:i/>
        </w:rPr>
        <w:t xml:space="preserve"> of 2019</w:t>
      </w:r>
    </w:p>
    <w:p w14:paraId="18E2BDA4" w14:textId="7229A2E8" w:rsidR="0063159A" w:rsidRDefault="0018739E" w:rsidP="00606079">
      <w:r w:rsidRPr="0018739E">
        <w:rPr>
          <w:rFonts w:cstheme="minorHAnsi"/>
        </w:rPr>
        <w:t>Extension of Scheme Established by Means of Government Notice No. 527 of 2018</w:t>
      </w:r>
    </w:p>
    <w:p w14:paraId="4D91F094" w14:textId="63F5E0E1" w:rsidR="0063159A" w:rsidRPr="0063159A" w:rsidRDefault="0063159A" w:rsidP="0063159A">
      <w:pPr>
        <w:pStyle w:val="ListParagraph"/>
        <w:numPr>
          <w:ilvl w:val="0"/>
          <w:numId w:val="15"/>
        </w:numPr>
        <w:rPr>
          <w:rFonts w:cstheme="minorHAnsi"/>
        </w:rPr>
      </w:pPr>
      <w:r w:rsidRPr="0063159A">
        <w:rPr>
          <w:rFonts w:cstheme="minorHAnsi"/>
          <w:i/>
        </w:rPr>
        <w:t xml:space="preserve">Government Notice </w:t>
      </w:r>
      <w:r>
        <w:rPr>
          <w:rFonts w:cstheme="minorHAnsi"/>
          <w:i/>
        </w:rPr>
        <w:t>1</w:t>
      </w:r>
      <w:r w:rsidR="00DF5999">
        <w:rPr>
          <w:rFonts w:cstheme="minorHAnsi"/>
          <w:i/>
        </w:rPr>
        <w:t>644</w:t>
      </w:r>
      <w:r w:rsidRPr="0063159A">
        <w:rPr>
          <w:rFonts w:cstheme="minorHAnsi"/>
          <w:i/>
        </w:rPr>
        <w:t xml:space="preserve"> of </w:t>
      </w:r>
      <w:r w:rsidR="00DF5999" w:rsidRPr="0063159A">
        <w:rPr>
          <w:rFonts w:cstheme="minorHAnsi"/>
          <w:i/>
        </w:rPr>
        <w:t>201</w:t>
      </w:r>
      <w:r w:rsidR="00DF5999">
        <w:rPr>
          <w:rFonts w:cstheme="minorHAnsi"/>
          <w:i/>
        </w:rPr>
        <w:t>9</w:t>
      </w:r>
    </w:p>
    <w:p w14:paraId="72C739DA" w14:textId="6FE7E915" w:rsidR="00442846" w:rsidRPr="00DF5999" w:rsidRDefault="00DF5999" w:rsidP="00442846">
      <w:pPr>
        <w:jc w:val="both"/>
        <w:rPr>
          <w:rFonts w:cstheme="minorHAnsi"/>
        </w:rPr>
      </w:pPr>
      <w:r w:rsidRPr="0021746A">
        <w:rPr>
          <w:rFonts w:cstheme="minorHAnsi"/>
        </w:rPr>
        <w:t>Extension of Scheme Established by Means of Government Notice No. 529 of 2018</w:t>
      </w:r>
      <w:r w:rsidR="00C5433C" w:rsidRPr="00DF5999">
        <w:rPr>
          <w:rFonts w:cstheme="minorHAnsi"/>
        </w:rPr>
        <w:t>.</w:t>
      </w:r>
    </w:p>
    <w:p w14:paraId="729CB09A" w14:textId="50ABA345" w:rsidR="00302AE1" w:rsidRDefault="00302AE1" w:rsidP="00302AE1">
      <w:pPr>
        <w:jc w:val="both"/>
        <w:rPr>
          <w:rFonts w:cstheme="minorHAnsi"/>
          <w:sz w:val="23"/>
          <w:szCs w:val="23"/>
        </w:rPr>
      </w:pPr>
    </w:p>
    <w:p w14:paraId="42FCFF93" w14:textId="35CEC5F1" w:rsidR="001307B6" w:rsidRDefault="00041C17" w:rsidP="00041C17">
      <w:pPr>
        <w:pStyle w:val="Heading1"/>
      </w:pPr>
      <w:bookmarkStart w:id="8" w:name="_Toc6229943"/>
      <w:r>
        <w:t>Central government buildings – Article 5</w:t>
      </w:r>
      <w:bookmarkEnd w:id="8"/>
      <w:r w:rsidR="00865BA7" w:rsidRPr="006A347D">
        <w:t xml:space="preserve">  </w:t>
      </w:r>
    </w:p>
    <w:p w14:paraId="3FD12EA1" w14:textId="77777777" w:rsidR="00C84D60" w:rsidRDefault="00C84D60" w:rsidP="00C84D60">
      <w:pPr>
        <w:spacing w:after="0" w:line="240" w:lineRule="auto"/>
        <w:jc w:val="both"/>
        <w:rPr>
          <w:rFonts w:eastAsia="Times New Roman"/>
          <w:i/>
          <w:iCs/>
          <w:color w:val="000000"/>
        </w:rPr>
      </w:pPr>
    </w:p>
    <w:p w14:paraId="588C8A90" w14:textId="470190C6" w:rsidR="00C84D60" w:rsidRPr="00C84D60" w:rsidRDefault="00C84D60" w:rsidP="00C84D60">
      <w:pPr>
        <w:pStyle w:val="ListParagraph"/>
        <w:numPr>
          <w:ilvl w:val="0"/>
          <w:numId w:val="7"/>
        </w:numPr>
        <w:spacing w:after="0" w:line="240" w:lineRule="auto"/>
        <w:jc w:val="both"/>
        <w:rPr>
          <w:rFonts w:eastAsia="Times New Roman"/>
          <w:color w:val="000000"/>
        </w:rPr>
      </w:pPr>
      <w:r w:rsidRPr="00C84D60">
        <w:rPr>
          <w:rFonts w:eastAsia="Times New Roman"/>
          <w:color w:val="000000"/>
        </w:rPr>
        <w:t>Total building floor area [m2] of the buildings with a total useful floor area over 250 m</w:t>
      </w:r>
      <w:r w:rsidRPr="00CC562F">
        <w:rPr>
          <w:rFonts w:eastAsia="Times New Roman"/>
          <w:color w:val="000000"/>
          <w:sz w:val="20"/>
          <w:szCs w:val="20"/>
          <w:vertAlign w:val="superscript"/>
        </w:rPr>
        <w:t>2</w:t>
      </w:r>
      <w:r w:rsidRPr="00C84D60">
        <w:rPr>
          <w:rFonts w:eastAsia="Times New Roman"/>
          <w:color w:val="000000"/>
        </w:rPr>
        <w:t xml:space="preserve"> owned and occupied by the Member States’ central government on 1 January 2020; </w:t>
      </w:r>
      <w:r w:rsidRPr="00D5250F">
        <w:rPr>
          <w:rFonts w:eastAsia="Times New Roman"/>
          <w:u w:val="single"/>
        </w:rPr>
        <w:t>167,166m²</w:t>
      </w:r>
    </w:p>
    <w:p w14:paraId="7EE59240" w14:textId="1F1F14EC" w:rsidR="004F1514" w:rsidRPr="00C84D60" w:rsidRDefault="004F1514" w:rsidP="00DC3270">
      <w:pPr>
        <w:pStyle w:val="ListParagraph"/>
        <w:numPr>
          <w:ilvl w:val="0"/>
          <w:numId w:val="7"/>
        </w:numPr>
        <w:jc w:val="both"/>
        <w:rPr>
          <w:rFonts w:eastAsia="Times New Roman" w:cstheme="minorHAnsi"/>
          <w:lang w:eastAsia="en-GB"/>
        </w:rPr>
      </w:pPr>
      <w:r w:rsidRPr="000573EE">
        <w:rPr>
          <w:rFonts w:cstheme="minorHAnsi"/>
          <w:b/>
          <w:bCs/>
        </w:rPr>
        <w:t xml:space="preserve"> </w:t>
      </w:r>
      <w:r w:rsidR="00DC7FCD" w:rsidRPr="00C84D60">
        <w:rPr>
          <w:rFonts w:cstheme="minorHAnsi"/>
          <w:bCs/>
        </w:rPr>
        <w:t>T</w:t>
      </w:r>
      <w:r w:rsidR="009F2ABF" w:rsidRPr="00C84D60">
        <w:rPr>
          <w:rFonts w:cstheme="minorHAnsi"/>
          <w:bCs/>
        </w:rPr>
        <w:t>otal building floor area [m</w:t>
      </w:r>
      <w:r w:rsidR="009F2ABF" w:rsidRPr="00C84D60">
        <w:rPr>
          <w:rFonts w:cstheme="minorHAnsi"/>
          <w:bCs/>
          <w:vertAlign w:val="superscript"/>
        </w:rPr>
        <w:t>2</w:t>
      </w:r>
      <w:r w:rsidR="009F2ABF" w:rsidRPr="00C84D60">
        <w:rPr>
          <w:rFonts w:cstheme="minorHAnsi"/>
          <w:bCs/>
        </w:rPr>
        <w:t>] of the buildings with a total useful floor area over 250 m</w:t>
      </w:r>
      <w:r w:rsidR="009F2ABF" w:rsidRPr="00C84D60">
        <w:rPr>
          <w:rFonts w:cstheme="minorHAnsi"/>
          <w:bCs/>
          <w:vertAlign w:val="superscript"/>
        </w:rPr>
        <w:t>2</w:t>
      </w:r>
      <w:r w:rsidR="009F2ABF" w:rsidRPr="00C84D60">
        <w:rPr>
          <w:rFonts w:cstheme="minorHAnsi"/>
          <w:bCs/>
        </w:rPr>
        <w:t xml:space="preserve"> owned and occupied by the Member States’ central government on 1 Januar</w:t>
      </w:r>
      <w:bookmarkStart w:id="9" w:name="_GoBack"/>
      <w:bookmarkEnd w:id="9"/>
      <w:r w:rsidR="009F2ABF" w:rsidRPr="00C84D60">
        <w:rPr>
          <w:rFonts w:cstheme="minorHAnsi"/>
          <w:bCs/>
        </w:rPr>
        <w:t>y 20</w:t>
      </w:r>
      <w:r w:rsidR="00943971">
        <w:rPr>
          <w:rFonts w:cstheme="minorHAnsi"/>
          <w:bCs/>
        </w:rPr>
        <w:t>20</w:t>
      </w:r>
      <w:r w:rsidR="00041C17" w:rsidRPr="00C84D60">
        <w:rPr>
          <w:rFonts w:cstheme="minorHAnsi"/>
          <w:bCs/>
        </w:rPr>
        <w:t>, which did not meet the energy performance requirements</w:t>
      </w:r>
      <w:r w:rsidRPr="00C84D60">
        <w:rPr>
          <w:rFonts w:cstheme="minorHAnsi"/>
          <w:bCs/>
        </w:rPr>
        <w:t xml:space="preserve">; </w:t>
      </w:r>
      <w:r w:rsidR="00C84D60" w:rsidRPr="00C84D60">
        <w:rPr>
          <w:rFonts w:eastAsia="Times New Roman"/>
          <w:u w:val="single"/>
        </w:rPr>
        <w:t>49,715 m²</w:t>
      </w:r>
    </w:p>
    <w:p w14:paraId="585C812E" w14:textId="21B8694F" w:rsidR="000D7791" w:rsidRPr="00D90CE4" w:rsidRDefault="000106B1" w:rsidP="00D90CE4">
      <w:pPr>
        <w:pStyle w:val="ListParagraph"/>
        <w:numPr>
          <w:ilvl w:val="0"/>
          <w:numId w:val="7"/>
        </w:numPr>
        <w:autoSpaceDE w:val="0"/>
        <w:autoSpaceDN w:val="0"/>
        <w:adjustRightInd w:val="0"/>
        <w:spacing w:after="0" w:line="240" w:lineRule="auto"/>
        <w:jc w:val="both"/>
        <w:rPr>
          <w:rFonts w:cstheme="minorHAnsi"/>
          <w:bCs/>
        </w:rPr>
      </w:pPr>
      <w:r w:rsidRPr="000106B1">
        <w:rPr>
          <w:rFonts w:cstheme="minorHAnsi"/>
          <w:bCs/>
        </w:rPr>
        <w:t>Total building floor area of heated and/or cooled buildings owned and occupied by the Member States’ central government that was renovated in 2019 referred to in Article 5(1), or the amount of energy savings in eligible buildings owned and occupied by their central government as referred to in Article 5(6)</w:t>
      </w:r>
      <w:r w:rsidR="00C84D60">
        <w:rPr>
          <w:rFonts w:cstheme="minorHAnsi"/>
          <w:bCs/>
        </w:rPr>
        <w:t>;</w:t>
      </w:r>
      <w:r w:rsidR="00D90CE4">
        <w:rPr>
          <w:rFonts w:cstheme="minorHAnsi"/>
          <w:bCs/>
        </w:rPr>
        <w:t xml:space="preserve"> </w:t>
      </w:r>
      <w:r w:rsidR="00D90CE4" w:rsidRPr="003A35D2">
        <w:rPr>
          <w:rFonts w:cstheme="minorHAnsi"/>
          <w:bCs/>
          <w:u w:val="single"/>
        </w:rPr>
        <w:t>7</w:t>
      </w:r>
      <w:r w:rsidR="003A35D2" w:rsidRPr="003A35D2">
        <w:rPr>
          <w:rFonts w:cstheme="minorHAnsi"/>
          <w:bCs/>
          <w:u w:val="single"/>
        </w:rPr>
        <w:t>,</w:t>
      </w:r>
      <w:r w:rsidR="00D90CE4" w:rsidRPr="003A35D2">
        <w:rPr>
          <w:rFonts w:cstheme="minorHAnsi"/>
          <w:bCs/>
          <w:u w:val="single"/>
        </w:rPr>
        <w:t>604m²</w:t>
      </w:r>
      <w:r w:rsidR="00D90CE4" w:rsidRPr="00D90CE4">
        <w:rPr>
          <w:rFonts w:cstheme="minorHAnsi"/>
          <w:bCs/>
        </w:rPr>
        <w:t xml:space="preserve"> with 216712 annual energy saving kWh.</w:t>
      </w:r>
    </w:p>
    <w:p w14:paraId="6FD4B699" w14:textId="77777777" w:rsidR="00280984" w:rsidRPr="000D7791" w:rsidRDefault="00280984" w:rsidP="00DC3270">
      <w:pPr>
        <w:pStyle w:val="ListParagraph"/>
        <w:ind w:left="502"/>
        <w:jc w:val="both"/>
        <w:rPr>
          <w:rFonts w:ascii="Calibri" w:eastAsia="Times New Roman" w:hAnsi="Calibri" w:cs="Times New Roman"/>
          <w:lang w:eastAsia="en-GB"/>
        </w:rPr>
      </w:pPr>
    </w:p>
    <w:p w14:paraId="4E6DF335" w14:textId="77777777" w:rsidR="00870187" w:rsidRDefault="00041C17" w:rsidP="00041C17">
      <w:pPr>
        <w:pStyle w:val="Heading1"/>
      </w:pPr>
      <w:bookmarkStart w:id="10" w:name="_Toc6229944"/>
      <w:r>
        <w:t>Energy savings – Article 7</w:t>
      </w:r>
      <w:bookmarkEnd w:id="10"/>
    </w:p>
    <w:p w14:paraId="47530443" w14:textId="77777777" w:rsidR="00CF4048" w:rsidRDefault="00CF4048" w:rsidP="00041C17">
      <w:pPr>
        <w:autoSpaceDE w:val="0"/>
        <w:autoSpaceDN w:val="0"/>
        <w:adjustRightInd w:val="0"/>
        <w:spacing w:after="0" w:line="240" w:lineRule="auto"/>
        <w:jc w:val="both"/>
        <w:rPr>
          <w:rFonts w:cstheme="minorHAnsi"/>
          <w:bCs/>
        </w:rPr>
      </w:pPr>
    </w:p>
    <w:p w14:paraId="16B1666D" w14:textId="33B5926A" w:rsidR="00033388" w:rsidRPr="00CF4048" w:rsidRDefault="00033388" w:rsidP="00041C17">
      <w:pPr>
        <w:autoSpaceDE w:val="0"/>
        <w:autoSpaceDN w:val="0"/>
        <w:adjustRightInd w:val="0"/>
        <w:spacing w:after="0" w:line="240" w:lineRule="auto"/>
        <w:jc w:val="both"/>
        <w:rPr>
          <w:rFonts w:cstheme="minorHAnsi"/>
          <w:bCs/>
        </w:rPr>
      </w:pPr>
      <w:r w:rsidRPr="00CF4048">
        <w:rPr>
          <w:rFonts w:cstheme="minorHAnsi"/>
          <w:bCs/>
        </w:rPr>
        <w:t xml:space="preserve">Energy savings achieved through the national energy efficiency obligation schemes referred to in Article 7(1) </w:t>
      </w:r>
      <w:r w:rsidR="00131A7D" w:rsidRPr="00CF4048">
        <w:rPr>
          <w:rFonts w:cstheme="minorHAnsi"/>
          <w:bCs/>
        </w:rPr>
        <w:t>and</w:t>
      </w:r>
      <w:r w:rsidRPr="00CF4048">
        <w:rPr>
          <w:rFonts w:cstheme="minorHAnsi"/>
          <w:bCs/>
        </w:rPr>
        <w:t xml:space="preserve"> alternative measures adopted in </w:t>
      </w:r>
      <w:r w:rsidR="00660C9F" w:rsidRPr="00CF4048">
        <w:rPr>
          <w:rFonts w:cstheme="minorHAnsi"/>
          <w:bCs/>
        </w:rPr>
        <w:t xml:space="preserve">the </w:t>
      </w:r>
      <w:r w:rsidRPr="00CF4048">
        <w:rPr>
          <w:rFonts w:cstheme="minorHAnsi"/>
          <w:bCs/>
        </w:rPr>
        <w:t>application of Article 7(9)</w:t>
      </w:r>
      <w:r w:rsidR="00131A7D" w:rsidRPr="00CF4048">
        <w:rPr>
          <w:rFonts w:cstheme="minorHAnsi"/>
          <w:bCs/>
        </w:rPr>
        <w:t xml:space="preserve"> are listed </w:t>
      </w:r>
      <w:r w:rsidR="009548FF">
        <w:rPr>
          <w:rFonts w:cstheme="minorHAnsi"/>
          <w:bCs/>
        </w:rPr>
        <w:t>here</w:t>
      </w:r>
      <w:r w:rsidR="00131A7D" w:rsidRPr="00CF4048">
        <w:rPr>
          <w:rFonts w:cstheme="minorHAnsi"/>
          <w:bCs/>
        </w:rPr>
        <w:t xml:space="preserve"> below</w:t>
      </w:r>
      <w:r w:rsidRPr="00CF4048">
        <w:rPr>
          <w:rFonts w:cstheme="minorHAnsi"/>
          <w:bCs/>
        </w:rPr>
        <w:t xml:space="preserve">.  </w:t>
      </w:r>
    </w:p>
    <w:p w14:paraId="6AED3E2C" w14:textId="520CB803" w:rsidR="008E585B" w:rsidRDefault="008E585B" w:rsidP="00C25453">
      <w:pPr>
        <w:autoSpaceDE w:val="0"/>
        <w:autoSpaceDN w:val="0"/>
        <w:adjustRightInd w:val="0"/>
        <w:spacing w:after="0" w:line="240" w:lineRule="auto"/>
        <w:jc w:val="both"/>
        <w:rPr>
          <w:rFonts w:ascii="Calibri" w:hAnsi="Calibri" w:cs="Calibri"/>
          <w:b/>
          <w:bCs/>
          <w:sz w:val="24"/>
          <w:szCs w:val="24"/>
        </w:rPr>
      </w:pPr>
    </w:p>
    <w:tbl>
      <w:tblPr>
        <w:tblW w:w="15034" w:type="dxa"/>
        <w:tblLook w:val="04A0" w:firstRow="1" w:lastRow="0" w:firstColumn="1" w:lastColumn="0" w:noHBand="0" w:noVBand="1"/>
      </w:tblPr>
      <w:tblGrid>
        <w:gridCol w:w="934"/>
        <w:gridCol w:w="1208"/>
        <w:gridCol w:w="3836"/>
        <w:gridCol w:w="3973"/>
        <w:gridCol w:w="2434"/>
        <w:gridCol w:w="2649"/>
      </w:tblGrid>
      <w:tr w:rsidR="009548FF" w:rsidRPr="009548FF" w14:paraId="20C94A90" w14:textId="77777777" w:rsidTr="009F6787">
        <w:trPr>
          <w:trHeight w:val="307"/>
        </w:trPr>
        <w:tc>
          <w:tcPr>
            <w:tcW w:w="21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44D0C1"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Energy savings achieved in </w:t>
            </w:r>
            <w:r w:rsidRPr="000D026E">
              <w:rPr>
                <w:rFonts w:ascii="Calibri" w:eastAsia="Times New Roman" w:hAnsi="Calibri" w:cs="Calibri"/>
                <w:b/>
                <w:lang w:eastAsia="en-GB"/>
              </w:rPr>
              <w:t>2018</w:t>
            </w:r>
            <w:r w:rsidRPr="009548FF">
              <w:rPr>
                <w:rFonts w:ascii="Calibri" w:eastAsia="Times New Roman" w:hAnsi="Calibri" w:cs="Calibri"/>
                <w:lang w:eastAsia="en-GB"/>
              </w:rPr>
              <w:t xml:space="preserve">                                     </w:t>
            </w:r>
            <w:proofErr w:type="gramStart"/>
            <w:r w:rsidRPr="009548FF">
              <w:rPr>
                <w:rFonts w:ascii="Calibri" w:eastAsia="Times New Roman" w:hAnsi="Calibri" w:cs="Calibri"/>
                <w:lang w:eastAsia="en-GB"/>
              </w:rPr>
              <w:t xml:space="preserve">   (</w:t>
            </w:r>
            <w:proofErr w:type="gramEnd"/>
            <w:r w:rsidRPr="009548FF">
              <w:rPr>
                <w:rFonts w:ascii="Calibri" w:eastAsia="Times New Roman" w:hAnsi="Calibri" w:cs="Calibri"/>
                <w:lang w:eastAsia="en-GB"/>
              </w:rPr>
              <w:t>savings achieved from measures and notified under Article 7(2)c) and (d) shall not be part of this table)</w:t>
            </w:r>
          </w:p>
        </w:tc>
        <w:tc>
          <w:tcPr>
            <w:tcW w:w="38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095115" w14:textId="7827D7F6" w:rsidR="009548FF" w:rsidRPr="009548FF" w:rsidRDefault="009548FF" w:rsidP="006B4AEC">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Policy measure </w:t>
            </w:r>
            <w:r w:rsidRPr="009548FF">
              <w:rPr>
                <w:rFonts w:ascii="Calibri" w:eastAsia="Times New Roman" w:hAnsi="Calibri" w:cs="Calibri"/>
                <w:lang w:eastAsia="en-GB"/>
              </w:rPr>
              <w:br/>
            </w:r>
          </w:p>
        </w:tc>
        <w:tc>
          <w:tcPr>
            <w:tcW w:w="905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2786BB8"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Savings achieved in 2018 [</w:t>
            </w:r>
            <w:proofErr w:type="spellStart"/>
            <w:r w:rsidRPr="009548FF">
              <w:rPr>
                <w:rFonts w:ascii="Calibri" w:eastAsia="Times New Roman" w:hAnsi="Calibri" w:cs="Calibri"/>
                <w:lang w:eastAsia="en-GB"/>
              </w:rPr>
              <w:t>ktoe</w:t>
            </w:r>
            <w:proofErr w:type="spellEnd"/>
            <w:r w:rsidRPr="009548FF">
              <w:rPr>
                <w:rFonts w:ascii="Calibri" w:eastAsia="Times New Roman" w:hAnsi="Calibri" w:cs="Calibri"/>
                <w:lang w:eastAsia="en-GB"/>
              </w:rPr>
              <w:t>] expressed in final energy*</w:t>
            </w:r>
          </w:p>
        </w:tc>
      </w:tr>
      <w:tr w:rsidR="009548FF" w:rsidRPr="009548FF" w14:paraId="7CAD5A04" w14:textId="77777777" w:rsidTr="009F6787">
        <w:trPr>
          <w:trHeight w:val="1537"/>
        </w:trPr>
        <w:tc>
          <w:tcPr>
            <w:tcW w:w="2142" w:type="dxa"/>
            <w:gridSpan w:val="2"/>
            <w:vMerge/>
            <w:tcBorders>
              <w:top w:val="single" w:sz="4" w:space="0" w:color="000000"/>
              <w:left w:val="single" w:sz="4" w:space="0" w:color="000000"/>
              <w:bottom w:val="single" w:sz="4" w:space="0" w:color="000000"/>
              <w:right w:val="single" w:sz="4" w:space="0" w:color="000000"/>
            </w:tcBorders>
            <w:vAlign w:val="center"/>
            <w:hideMark/>
          </w:tcPr>
          <w:p w14:paraId="653E2C2F" w14:textId="77777777" w:rsidR="009548FF" w:rsidRPr="009548FF" w:rsidRDefault="009548FF" w:rsidP="009548FF">
            <w:pPr>
              <w:spacing w:after="0" w:line="240" w:lineRule="auto"/>
              <w:rPr>
                <w:rFonts w:ascii="Calibri" w:eastAsia="Times New Roman" w:hAnsi="Calibri" w:cs="Calibri"/>
                <w:lang w:eastAsia="en-GB"/>
              </w:rPr>
            </w:pPr>
          </w:p>
        </w:tc>
        <w:tc>
          <w:tcPr>
            <w:tcW w:w="3836" w:type="dxa"/>
            <w:vMerge/>
            <w:tcBorders>
              <w:top w:val="single" w:sz="4" w:space="0" w:color="auto"/>
              <w:left w:val="single" w:sz="4" w:space="0" w:color="auto"/>
              <w:bottom w:val="single" w:sz="4" w:space="0" w:color="000000"/>
              <w:right w:val="single" w:sz="4" w:space="0" w:color="auto"/>
            </w:tcBorders>
            <w:vAlign w:val="center"/>
            <w:hideMark/>
          </w:tcPr>
          <w:p w14:paraId="1D31F7EB" w14:textId="77777777" w:rsidR="009548FF" w:rsidRPr="009548FF" w:rsidRDefault="009548FF" w:rsidP="009548FF">
            <w:pPr>
              <w:spacing w:after="0" w:line="240" w:lineRule="auto"/>
              <w:rPr>
                <w:rFonts w:ascii="Calibri" w:eastAsia="Times New Roman" w:hAnsi="Calibri" w:cs="Calibri"/>
                <w:lang w:eastAsia="en-GB"/>
              </w:rPr>
            </w:pPr>
          </w:p>
        </w:tc>
        <w:tc>
          <w:tcPr>
            <w:tcW w:w="3973" w:type="dxa"/>
            <w:tcBorders>
              <w:top w:val="single" w:sz="4" w:space="0" w:color="auto"/>
              <w:left w:val="nil"/>
              <w:bottom w:val="single" w:sz="4" w:space="0" w:color="auto"/>
              <w:right w:val="single" w:sz="4" w:space="0" w:color="auto"/>
            </w:tcBorders>
            <w:shd w:val="clear" w:color="auto" w:fill="auto"/>
            <w:vAlign w:val="center"/>
            <w:hideMark/>
          </w:tcPr>
          <w:p w14:paraId="2100BAFB"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Total </w:t>
            </w:r>
            <w:r w:rsidRPr="000D026E">
              <w:rPr>
                <w:rFonts w:ascii="Calibri" w:eastAsia="Times New Roman" w:hAnsi="Calibri" w:cs="Calibri"/>
                <w:b/>
                <w:lang w:eastAsia="en-GB"/>
              </w:rPr>
              <w:t>annual</w:t>
            </w:r>
            <w:r w:rsidRPr="009548FF">
              <w:rPr>
                <w:rFonts w:ascii="Calibri" w:eastAsia="Times New Roman" w:hAnsi="Calibri" w:cs="Calibri"/>
                <w:lang w:eastAsia="en-GB"/>
              </w:rPr>
              <w:t xml:space="preserve"> end-use savings achieved [</w:t>
            </w:r>
            <w:proofErr w:type="spellStart"/>
            <w:r w:rsidRPr="009548FF">
              <w:rPr>
                <w:rFonts w:ascii="Calibri" w:eastAsia="Times New Roman" w:hAnsi="Calibri" w:cs="Calibri"/>
                <w:lang w:eastAsia="en-GB"/>
              </w:rPr>
              <w:t>ktoe</w:t>
            </w:r>
            <w:proofErr w:type="spellEnd"/>
            <w:r w:rsidRPr="009548FF">
              <w:rPr>
                <w:rFonts w:ascii="Calibri" w:eastAsia="Times New Roman" w:hAnsi="Calibri" w:cs="Calibri"/>
                <w:lang w:eastAsia="en-GB"/>
              </w:rPr>
              <w:t xml:space="preserve">] in 2018 </w:t>
            </w:r>
            <w:r w:rsidRPr="009548FF">
              <w:rPr>
                <w:rFonts w:ascii="Calibri" w:eastAsia="Times New Roman" w:hAnsi="Calibri" w:cs="Calibri"/>
                <w:lang w:eastAsia="en-GB"/>
              </w:rPr>
              <w:br/>
              <w:t xml:space="preserve">(amount of savings from new actions implemented from </w:t>
            </w:r>
            <w:r w:rsidRPr="009548FF">
              <w:rPr>
                <w:rFonts w:ascii="Calibri" w:eastAsia="Times New Roman" w:hAnsi="Calibri" w:cs="Calibri"/>
                <w:b/>
                <w:bCs/>
                <w:lang w:eastAsia="en-GB"/>
              </w:rPr>
              <w:t xml:space="preserve">2014 to 2018 </w:t>
            </w:r>
            <w:r w:rsidRPr="009548FF">
              <w:rPr>
                <w:rFonts w:ascii="Calibri" w:eastAsia="Times New Roman" w:hAnsi="Calibri" w:cs="Calibri"/>
                <w:lang w:eastAsia="en-GB"/>
              </w:rPr>
              <w:t>that delivered savings in 2018)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14:paraId="3411E309"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b/>
                <w:bCs/>
                <w:lang w:eastAsia="en-GB"/>
              </w:rPr>
              <w:t>thereof</w:t>
            </w:r>
            <w:r w:rsidRPr="009548FF">
              <w:rPr>
                <w:rFonts w:ascii="Calibri" w:eastAsia="Times New Roman" w:hAnsi="Calibri" w:cs="Calibri"/>
                <w:lang w:eastAsia="en-GB"/>
              </w:rPr>
              <w:t xml:space="preserve"> savings achieved [</w:t>
            </w:r>
            <w:proofErr w:type="spellStart"/>
            <w:r w:rsidRPr="009548FF">
              <w:rPr>
                <w:rFonts w:ascii="Calibri" w:eastAsia="Times New Roman" w:hAnsi="Calibri" w:cs="Calibri"/>
                <w:lang w:eastAsia="en-GB"/>
              </w:rPr>
              <w:t>ktoe</w:t>
            </w:r>
            <w:proofErr w:type="spellEnd"/>
            <w:r w:rsidRPr="009548FF">
              <w:rPr>
                <w:rFonts w:ascii="Calibri" w:eastAsia="Times New Roman" w:hAnsi="Calibri" w:cs="Calibri"/>
                <w:lang w:eastAsia="en-GB"/>
              </w:rPr>
              <w:t xml:space="preserve">] in 2018 only from </w:t>
            </w:r>
            <w:r w:rsidRPr="000D026E">
              <w:rPr>
                <w:rFonts w:ascii="Calibri" w:eastAsia="Times New Roman" w:hAnsi="Calibri" w:cs="Calibri"/>
                <w:b/>
                <w:u w:val="single"/>
                <w:lang w:eastAsia="en-GB"/>
              </w:rPr>
              <w:t>new</w:t>
            </w:r>
            <w:r w:rsidRPr="009548FF">
              <w:rPr>
                <w:rFonts w:ascii="Calibri" w:eastAsia="Times New Roman" w:hAnsi="Calibri" w:cs="Calibri"/>
                <w:lang w:eastAsia="en-GB"/>
              </w:rPr>
              <w:t xml:space="preserve"> actions that were implemented in 2018</w:t>
            </w:r>
          </w:p>
        </w:tc>
        <w:tc>
          <w:tcPr>
            <w:tcW w:w="2648" w:type="dxa"/>
            <w:tcBorders>
              <w:top w:val="single" w:sz="4" w:space="0" w:color="auto"/>
              <w:left w:val="nil"/>
              <w:bottom w:val="single" w:sz="4" w:space="0" w:color="auto"/>
              <w:right w:val="single" w:sz="4" w:space="0" w:color="auto"/>
            </w:tcBorders>
            <w:shd w:val="clear" w:color="auto" w:fill="auto"/>
            <w:vAlign w:val="center"/>
            <w:hideMark/>
          </w:tcPr>
          <w:p w14:paraId="2D3F9E6C"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Total </w:t>
            </w:r>
            <w:proofErr w:type="spellStart"/>
            <w:r w:rsidRPr="009548FF">
              <w:rPr>
                <w:rFonts w:ascii="Calibri" w:eastAsia="Times New Roman" w:hAnsi="Calibri" w:cs="Calibri"/>
                <w:b/>
                <w:bCs/>
                <w:lang w:eastAsia="en-GB"/>
              </w:rPr>
              <w:t>cummulative</w:t>
            </w:r>
            <w:proofErr w:type="spellEnd"/>
            <w:r w:rsidRPr="009548FF">
              <w:rPr>
                <w:rFonts w:ascii="Calibri" w:eastAsia="Times New Roman" w:hAnsi="Calibri" w:cs="Calibri"/>
                <w:lang w:eastAsia="en-GB"/>
              </w:rPr>
              <w:t xml:space="preserve"> end-use savings achieved [</w:t>
            </w:r>
            <w:proofErr w:type="spellStart"/>
            <w:r w:rsidRPr="009548FF">
              <w:rPr>
                <w:rFonts w:ascii="Calibri" w:eastAsia="Times New Roman" w:hAnsi="Calibri" w:cs="Calibri"/>
                <w:lang w:eastAsia="en-GB"/>
              </w:rPr>
              <w:t>ktoe</w:t>
            </w:r>
            <w:proofErr w:type="spellEnd"/>
            <w:r w:rsidRPr="009548FF">
              <w:rPr>
                <w:rFonts w:ascii="Calibri" w:eastAsia="Times New Roman" w:hAnsi="Calibri" w:cs="Calibri"/>
                <w:lang w:eastAsia="en-GB"/>
              </w:rPr>
              <w:t xml:space="preserve">] from </w:t>
            </w:r>
            <w:r w:rsidRPr="000D026E">
              <w:rPr>
                <w:rFonts w:ascii="Calibri" w:eastAsia="Times New Roman" w:hAnsi="Calibri" w:cs="Calibri"/>
                <w:b/>
                <w:lang w:eastAsia="en-GB"/>
              </w:rPr>
              <w:t>2014 to 2018</w:t>
            </w:r>
            <w:r w:rsidRPr="009548FF">
              <w:rPr>
                <w:rFonts w:ascii="Calibri" w:eastAsia="Times New Roman" w:hAnsi="Calibri" w:cs="Calibri"/>
                <w:lang w:eastAsia="en-GB"/>
              </w:rPr>
              <w:t xml:space="preserve"> </w:t>
            </w:r>
          </w:p>
        </w:tc>
      </w:tr>
      <w:tr w:rsidR="009548FF" w:rsidRPr="009548FF" w14:paraId="12229A7B" w14:textId="77777777" w:rsidTr="009F6787">
        <w:trPr>
          <w:trHeight w:val="307"/>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341EB"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44-1</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77E48E96" w14:textId="77777777" w:rsidR="009548FF" w:rsidRPr="009548FF" w:rsidRDefault="009548FF" w:rsidP="009548FF">
            <w:pPr>
              <w:spacing w:after="0" w:line="240" w:lineRule="auto"/>
              <w:rPr>
                <w:rFonts w:ascii="Calibri" w:eastAsia="Times New Roman" w:hAnsi="Calibri" w:cs="Calibri"/>
                <w:lang w:eastAsia="en-GB"/>
              </w:rPr>
            </w:pPr>
            <w:r w:rsidRPr="009548FF">
              <w:rPr>
                <w:rFonts w:ascii="Calibri" w:eastAsia="Times New Roman" w:hAnsi="Calibri" w:cs="Calibri"/>
                <w:lang w:eastAsia="en-GB"/>
              </w:rPr>
              <w:t>EEOS</w:t>
            </w:r>
          </w:p>
        </w:tc>
        <w:tc>
          <w:tcPr>
            <w:tcW w:w="3836" w:type="dxa"/>
            <w:tcBorders>
              <w:top w:val="nil"/>
              <w:left w:val="nil"/>
              <w:bottom w:val="single" w:sz="4" w:space="0" w:color="auto"/>
              <w:right w:val="single" w:sz="4" w:space="0" w:color="auto"/>
            </w:tcBorders>
            <w:shd w:val="clear" w:color="000000" w:fill="DBDBDB"/>
            <w:vAlign w:val="center"/>
            <w:hideMark/>
          </w:tcPr>
          <w:p w14:paraId="163F15DE"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Energy Efficiency Obligation Scheme</w:t>
            </w:r>
          </w:p>
        </w:tc>
        <w:tc>
          <w:tcPr>
            <w:tcW w:w="3973" w:type="dxa"/>
            <w:tcBorders>
              <w:top w:val="nil"/>
              <w:left w:val="nil"/>
              <w:bottom w:val="single" w:sz="4" w:space="0" w:color="auto"/>
              <w:right w:val="single" w:sz="4" w:space="0" w:color="auto"/>
            </w:tcBorders>
            <w:shd w:val="clear" w:color="000000" w:fill="DBDBDB"/>
            <w:vAlign w:val="bottom"/>
            <w:hideMark/>
          </w:tcPr>
          <w:p w14:paraId="0D36A56A"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0.35 </w:t>
            </w:r>
          </w:p>
        </w:tc>
        <w:tc>
          <w:tcPr>
            <w:tcW w:w="2434" w:type="dxa"/>
            <w:tcBorders>
              <w:top w:val="nil"/>
              <w:left w:val="nil"/>
              <w:bottom w:val="single" w:sz="4" w:space="0" w:color="auto"/>
              <w:right w:val="single" w:sz="4" w:space="0" w:color="auto"/>
            </w:tcBorders>
            <w:shd w:val="clear" w:color="000000" w:fill="DBDBDB"/>
            <w:vAlign w:val="bottom"/>
            <w:hideMark/>
          </w:tcPr>
          <w:p w14:paraId="04749D17"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0.35 </w:t>
            </w:r>
          </w:p>
        </w:tc>
        <w:tc>
          <w:tcPr>
            <w:tcW w:w="2648" w:type="dxa"/>
            <w:tcBorders>
              <w:top w:val="nil"/>
              <w:left w:val="nil"/>
              <w:bottom w:val="single" w:sz="4" w:space="0" w:color="auto"/>
              <w:right w:val="single" w:sz="4" w:space="0" w:color="auto"/>
            </w:tcBorders>
            <w:shd w:val="clear" w:color="000000" w:fill="DBDBDB"/>
            <w:vAlign w:val="bottom"/>
            <w:hideMark/>
          </w:tcPr>
          <w:p w14:paraId="08BB3D12"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2.66 </w:t>
            </w:r>
          </w:p>
        </w:tc>
      </w:tr>
      <w:tr w:rsidR="009548FF" w:rsidRPr="009548FF" w14:paraId="03467DF9" w14:textId="77777777" w:rsidTr="009F6787">
        <w:trPr>
          <w:trHeight w:val="614"/>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548D2A56"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44-2</w:t>
            </w:r>
          </w:p>
        </w:tc>
        <w:tc>
          <w:tcPr>
            <w:tcW w:w="1207" w:type="dxa"/>
            <w:tcBorders>
              <w:top w:val="nil"/>
              <w:left w:val="nil"/>
              <w:bottom w:val="single" w:sz="4" w:space="0" w:color="auto"/>
              <w:right w:val="single" w:sz="4" w:space="0" w:color="auto"/>
            </w:tcBorders>
            <w:shd w:val="clear" w:color="auto" w:fill="auto"/>
            <w:vAlign w:val="center"/>
            <w:hideMark/>
          </w:tcPr>
          <w:p w14:paraId="469E1449" w14:textId="77777777" w:rsidR="009548FF" w:rsidRPr="009548FF" w:rsidRDefault="009548FF" w:rsidP="009548FF">
            <w:pPr>
              <w:spacing w:after="0" w:line="240" w:lineRule="auto"/>
              <w:rPr>
                <w:rFonts w:ascii="Calibri" w:eastAsia="Times New Roman" w:hAnsi="Calibri" w:cs="Calibri"/>
                <w:lang w:eastAsia="en-GB"/>
              </w:rPr>
            </w:pPr>
            <w:r w:rsidRPr="009548FF">
              <w:rPr>
                <w:rFonts w:ascii="Calibri" w:eastAsia="Times New Roman" w:hAnsi="Calibri" w:cs="Calibri"/>
                <w:lang w:eastAsia="en-GB"/>
              </w:rPr>
              <w:t>Alternative measure 1</w:t>
            </w:r>
          </w:p>
        </w:tc>
        <w:tc>
          <w:tcPr>
            <w:tcW w:w="3836" w:type="dxa"/>
            <w:tcBorders>
              <w:top w:val="nil"/>
              <w:left w:val="nil"/>
              <w:bottom w:val="single" w:sz="4" w:space="0" w:color="auto"/>
              <w:right w:val="single" w:sz="4" w:space="0" w:color="auto"/>
            </w:tcBorders>
            <w:shd w:val="clear" w:color="000000" w:fill="DBDBDB"/>
            <w:vAlign w:val="center"/>
            <w:hideMark/>
          </w:tcPr>
          <w:p w14:paraId="397D15B4"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Public Sector Leading by Example</w:t>
            </w:r>
          </w:p>
        </w:tc>
        <w:tc>
          <w:tcPr>
            <w:tcW w:w="3973" w:type="dxa"/>
            <w:tcBorders>
              <w:top w:val="nil"/>
              <w:left w:val="nil"/>
              <w:bottom w:val="single" w:sz="4" w:space="0" w:color="auto"/>
              <w:right w:val="single" w:sz="4" w:space="0" w:color="auto"/>
            </w:tcBorders>
            <w:shd w:val="clear" w:color="000000" w:fill="DBDBDB"/>
            <w:vAlign w:val="bottom"/>
            <w:hideMark/>
          </w:tcPr>
          <w:p w14:paraId="0EB6646C"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0.67 </w:t>
            </w:r>
          </w:p>
        </w:tc>
        <w:tc>
          <w:tcPr>
            <w:tcW w:w="2434" w:type="dxa"/>
            <w:tcBorders>
              <w:top w:val="nil"/>
              <w:left w:val="nil"/>
              <w:bottom w:val="single" w:sz="4" w:space="0" w:color="auto"/>
              <w:right w:val="single" w:sz="4" w:space="0" w:color="auto"/>
            </w:tcBorders>
            <w:shd w:val="clear" w:color="000000" w:fill="DBDBDB"/>
            <w:vAlign w:val="bottom"/>
            <w:hideMark/>
          </w:tcPr>
          <w:p w14:paraId="06374866"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0.22 </w:t>
            </w:r>
          </w:p>
        </w:tc>
        <w:tc>
          <w:tcPr>
            <w:tcW w:w="2648" w:type="dxa"/>
            <w:tcBorders>
              <w:top w:val="nil"/>
              <w:left w:val="nil"/>
              <w:bottom w:val="single" w:sz="4" w:space="0" w:color="auto"/>
              <w:right w:val="single" w:sz="4" w:space="0" w:color="auto"/>
            </w:tcBorders>
            <w:shd w:val="clear" w:color="000000" w:fill="DBDBDB"/>
            <w:vAlign w:val="bottom"/>
            <w:hideMark/>
          </w:tcPr>
          <w:p w14:paraId="11E11745"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1.91 </w:t>
            </w:r>
          </w:p>
        </w:tc>
      </w:tr>
      <w:tr w:rsidR="009548FF" w:rsidRPr="009548FF" w14:paraId="6964E205" w14:textId="77777777" w:rsidTr="009F6787">
        <w:trPr>
          <w:trHeight w:val="614"/>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425B6D02"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44-3</w:t>
            </w:r>
          </w:p>
        </w:tc>
        <w:tc>
          <w:tcPr>
            <w:tcW w:w="1207" w:type="dxa"/>
            <w:tcBorders>
              <w:top w:val="nil"/>
              <w:left w:val="nil"/>
              <w:bottom w:val="single" w:sz="4" w:space="0" w:color="auto"/>
              <w:right w:val="single" w:sz="4" w:space="0" w:color="auto"/>
            </w:tcBorders>
            <w:shd w:val="clear" w:color="auto" w:fill="auto"/>
            <w:vAlign w:val="center"/>
            <w:hideMark/>
          </w:tcPr>
          <w:p w14:paraId="4871BE5E" w14:textId="77777777" w:rsidR="009548FF" w:rsidRPr="009548FF" w:rsidRDefault="009548FF" w:rsidP="009548FF">
            <w:pPr>
              <w:spacing w:after="0" w:line="240" w:lineRule="auto"/>
              <w:rPr>
                <w:rFonts w:ascii="Calibri" w:eastAsia="Times New Roman" w:hAnsi="Calibri" w:cs="Calibri"/>
                <w:lang w:eastAsia="en-GB"/>
              </w:rPr>
            </w:pPr>
            <w:r w:rsidRPr="009548FF">
              <w:rPr>
                <w:rFonts w:ascii="Calibri" w:eastAsia="Times New Roman" w:hAnsi="Calibri" w:cs="Calibri"/>
                <w:lang w:eastAsia="en-GB"/>
              </w:rPr>
              <w:t>Alternative measure 2</w:t>
            </w:r>
          </w:p>
        </w:tc>
        <w:tc>
          <w:tcPr>
            <w:tcW w:w="3836" w:type="dxa"/>
            <w:tcBorders>
              <w:top w:val="nil"/>
              <w:left w:val="nil"/>
              <w:bottom w:val="single" w:sz="4" w:space="0" w:color="auto"/>
              <w:right w:val="single" w:sz="4" w:space="0" w:color="auto"/>
            </w:tcBorders>
            <w:shd w:val="clear" w:color="000000" w:fill="DBDBDB"/>
            <w:vAlign w:val="center"/>
            <w:hideMark/>
          </w:tcPr>
          <w:p w14:paraId="4EA1086B"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Financing Schemes and instruments and fiscal incentives</w:t>
            </w:r>
          </w:p>
        </w:tc>
        <w:tc>
          <w:tcPr>
            <w:tcW w:w="3973" w:type="dxa"/>
            <w:tcBorders>
              <w:top w:val="nil"/>
              <w:left w:val="nil"/>
              <w:bottom w:val="single" w:sz="4" w:space="0" w:color="auto"/>
              <w:right w:val="single" w:sz="4" w:space="0" w:color="auto"/>
            </w:tcBorders>
            <w:shd w:val="clear" w:color="000000" w:fill="DBDBDB"/>
            <w:vAlign w:val="bottom"/>
            <w:hideMark/>
          </w:tcPr>
          <w:p w14:paraId="12CCDCC5"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8.33 </w:t>
            </w:r>
          </w:p>
        </w:tc>
        <w:tc>
          <w:tcPr>
            <w:tcW w:w="2434" w:type="dxa"/>
            <w:tcBorders>
              <w:top w:val="nil"/>
              <w:left w:val="nil"/>
              <w:bottom w:val="single" w:sz="4" w:space="0" w:color="auto"/>
              <w:right w:val="single" w:sz="4" w:space="0" w:color="auto"/>
            </w:tcBorders>
            <w:shd w:val="clear" w:color="000000" w:fill="DBDBDB"/>
            <w:vAlign w:val="bottom"/>
            <w:hideMark/>
          </w:tcPr>
          <w:p w14:paraId="583E3A9F"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0.73 </w:t>
            </w:r>
          </w:p>
        </w:tc>
        <w:tc>
          <w:tcPr>
            <w:tcW w:w="2648" w:type="dxa"/>
            <w:tcBorders>
              <w:top w:val="nil"/>
              <w:left w:val="nil"/>
              <w:bottom w:val="single" w:sz="4" w:space="0" w:color="auto"/>
              <w:right w:val="single" w:sz="4" w:space="0" w:color="auto"/>
            </w:tcBorders>
            <w:shd w:val="clear" w:color="000000" w:fill="DBDBDB"/>
            <w:vAlign w:val="bottom"/>
            <w:hideMark/>
          </w:tcPr>
          <w:p w14:paraId="665BC36C"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28.14 </w:t>
            </w:r>
          </w:p>
        </w:tc>
      </w:tr>
      <w:tr w:rsidR="009548FF" w:rsidRPr="009548FF" w14:paraId="5473FC0A" w14:textId="77777777" w:rsidTr="009F6787">
        <w:trPr>
          <w:trHeight w:val="614"/>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5E3FC736"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44-3</w:t>
            </w:r>
          </w:p>
        </w:tc>
        <w:tc>
          <w:tcPr>
            <w:tcW w:w="1207" w:type="dxa"/>
            <w:tcBorders>
              <w:top w:val="nil"/>
              <w:left w:val="nil"/>
              <w:bottom w:val="single" w:sz="4" w:space="0" w:color="auto"/>
              <w:right w:val="single" w:sz="4" w:space="0" w:color="auto"/>
            </w:tcBorders>
            <w:shd w:val="clear" w:color="auto" w:fill="auto"/>
            <w:vAlign w:val="center"/>
            <w:hideMark/>
          </w:tcPr>
          <w:p w14:paraId="4FCA43F3" w14:textId="77777777" w:rsidR="009548FF" w:rsidRPr="009548FF" w:rsidRDefault="009548FF" w:rsidP="009548FF">
            <w:pPr>
              <w:spacing w:after="0" w:line="240" w:lineRule="auto"/>
              <w:rPr>
                <w:rFonts w:ascii="Calibri" w:eastAsia="Times New Roman" w:hAnsi="Calibri" w:cs="Calibri"/>
                <w:lang w:eastAsia="en-GB"/>
              </w:rPr>
            </w:pPr>
            <w:r w:rsidRPr="009548FF">
              <w:rPr>
                <w:rFonts w:ascii="Calibri" w:eastAsia="Times New Roman" w:hAnsi="Calibri" w:cs="Calibri"/>
                <w:lang w:eastAsia="en-GB"/>
              </w:rPr>
              <w:t>Alternative measure 2</w:t>
            </w:r>
          </w:p>
        </w:tc>
        <w:tc>
          <w:tcPr>
            <w:tcW w:w="3836" w:type="dxa"/>
            <w:tcBorders>
              <w:top w:val="nil"/>
              <w:left w:val="nil"/>
              <w:bottom w:val="single" w:sz="4" w:space="0" w:color="auto"/>
              <w:right w:val="single" w:sz="4" w:space="0" w:color="auto"/>
            </w:tcBorders>
            <w:shd w:val="clear" w:color="000000" w:fill="DBDBDB"/>
            <w:vAlign w:val="center"/>
            <w:hideMark/>
          </w:tcPr>
          <w:p w14:paraId="1D9D993F"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Regulations and Voluntary Agreements</w:t>
            </w:r>
          </w:p>
        </w:tc>
        <w:tc>
          <w:tcPr>
            <w:tcW w:w="3973" w:type="dxa"/>
            <w:tcBorders>
              <w:top w:val="nil"/>
              <w:left w:val="nil"/>
              <w:bottom w:val="single" w:sz="4" w:space="0" w:color="auto"/>
              <w:right w:val="single" w:sz="4" w:space="0" w:color="auto"/>
            </w:tcBorders>
            <w:shd w:val="clear" w:color="000000" w:fill="DBDBDB"/>
            <w:vAlign w:val="bottom"/>
            <w:hideMark/>
          </w:tcPr>
          <w:p w14:paraId="420CC2CE"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5.77 </w:t>
            </w:r>
          </w:p>
        </w:tc>
        <w:tc>
          <w:tcPr>
            <w:tcW w:w="2434" w:type="dxa"/>
            <w:tcBorders>
              <w:top w:val="nil"/>
              <w:left w:val="nil"/>
              <w:bottom w:val="single" w:sz="4" w:space="0" w:color="auto"/>
              <w:right w:val="single" w:sz="4" w:space="0" w:color="auto"/>
            </w:tcBorders>
            <w:shd w:val="clear" w:color="000000" w:fill="DBDBDB"/>
            <w:vAlign w:val="bottom"/>
            <w:hideMark/>
          </w:tcPr>
          <w:p w14:paraId="7E9A2629"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3.97 </w:t>
            </w:r>
          </w:p>
        </w:tc>
        <w:tc>
          <w:tcPr>
            <w:tcW w:w="2648" w:type="dxa"/>
            <w:tcBorders>
              <w:top w:val="nil"/>
              <w:left w:val="nil"/>
              <w:bottom w:val="single" w:sz="4" w:space="0" w:color="auto"/>
              <w:right w:val="single" w:sz="4" w:space="0" w:color="auto"/>
            </w:tcBorders>
            <w:shd w:val="clear" w:color="000000" w:fill="DBDBDB"/>
            <w:vAlign w:val="bottom"/>
            <w:hideMark/>
          </w:tcPr>
          <w:p w14:paraId="7AB6DE1D" w14:textId="77777777" w:rsidR="009548FF" w:rsidRPr="009548FF" w:rsidRDefault="009548FF" w:rsidP="009548FF">
            <w:pPr>
              <w:spacing w:after="0" w:line="240" w:lineRule="auto"/>
              <w:jc w:val="center"/>
              <w:rPr>
                <w:rFonts w:ascii="Calibri" w:eastAsia="Times New Roman" w:hAnsi="Calibri" w:cs="Calibri"/>
                <w:lang w:eastAsia="en-GB"/>
              </w:rPr>
            </w:pPr>
            <w:r w:rsidRPr="009548FF">
              <w:rPr>
                <w:rFonts w:ascii="Calibri" w:eastAsia="Times New Roman" w:hAnsi="Calibri" w:cs="Calibri"/>
                <w:lang w:eastAsia="en-GB"/>
              </w:rPr>
              <w:t xml:space="preserve">                                               14.54 </w:t>
            </w:r>
          </w:p>
        </w:tc>
      </w:tr>
      <w:tr w:rsidR="009548FF" w:rsidRPr="009548FF" w14:paraId="17F4280A" w14:textId="77777777" w:rsidTr="009F6787">
        <w:trPr>
          <w:trHeight w:val="307"/>
        </w:trPr>
        <w:tc>
          <w:tcPr>
            <w:tcW w:w="934" w:type="dxa"/>
            <w:tcBorders>
              <w:top w:val="nil"/>
              <w:left w:val="nil"/>
              <w:bottom w:val="nil"/>
              <w:right w:val="nil"/>
            </w:tcBorders>
            <w:shd w:val="clear" w:color="auto" w:fill="auto"/>
            <w:noWrap/>
            <w:vAlign w:val="bottom"/>
            <w:hideMark/>
          </w:tcPr>
          <w:p w14:paraId="0098EF11" w14:textId="77777777" w:rsidR="009548FF" w:rsidRPr="009548FF" w:rsidRDefault="009548FF" w:rsidP="009548FF">
            <w:pPr>
              <w:spacing w:after="0" w:line="240" w:lineRule="auto"/>
              <w:jc w:val="center"/>
              <w:rPr>
                <w:rFonts w:ascii="Calibri" w:eastAsia="Times New Roman" w:hAnsi="Calibri" w:cs="Calibri"/>
                <w:lang w:eastAsia="en-GB"/>
              </w:rPr>
            </w:pPr>
          </w:p>
        </w:tc>
        <w:tc>
          <w:tcPr>
            <w:tcW w:w="1207" w:type="dxa"/>
            <w:tcBorders>
              <w:top w:val="nil"/>
              <w:left w:val="nil"/>
              <w:bottom w:val="nil"/>
              <w:right w:val="nil"/>
            </w:tcBorders>
            <w:shd w:val="clear" w:color="auto" w:fill="auto"/>
            <w:noWrap/>
            <w:vAlign w:val="bottom"/>
            <w:hideMark/>
          </w:tcPr>
          <w:p w14:paraId="06181414" w14:textId="77777777" w:rsidR="009548FF" w:rsidRPr="009548FF" w:rsidRDefault="009548FF" w:rsidP="009548FF">
            <w:pPr>
              <w:spacing w:after="0" w:line="240" w:lineRule="auto"/>
              <w:rPr>
                <w:rFonts w:ascii="Times New Roman" w:eastAsia="Times New Roman" w:hAnsi="Times New Roman" w:cs="Times New Roman"/>
                <w:sz w:val="20"/>
                <w:szCs w:val="20"/>
                <w:lang w:eastAsia="en-GB"/>
              </w:rPr>
            </w:pPr>
          </w:p>
        </w:tc>
        <w:tc>
          <w:tcPr>
            <w:tcW w:w="3836" w:type="dxa"/>
            <w:tcBorders>
              <w:top w:val="nil"/>
              <w:left w:val="single" w:sz="4" w:space="0" w:color="auto"/>
              <w:bottom w:val="single" w:sz="4" w:space="0" w:color="auto"/>
              <w:right w:val="single" w:sz="4" w:space="0" w:color="auto"/>
            </w:tcBorders>
            <w:shd w:val="clear" w:color="000000" w:fill="DBDBDB"/>
            <w:vAlign w:val="center"/>
            <w:hideMark/>
          </w:tcPr>
          <w:p w14:paraId="64C6FFE2" w14:textId="77777777" w:rsidR="009548FF" w:rsidRPr="009548FF" w:rsidRDefault="009548FF" w:rsidP="009548FF">
            <w:pPr>
              <w:spacing w:after="0" w:line="240" w:lineRule="auto"/>
              <w:jc w:val="right"/>
              <w:rPr>
                <w:rFonts w:ascii="Calibri" w:eastAsia="Times New Roman" w:hAnsi="Calibri" w:cs="Calibri"/>
                <w:b/>
                <w:bCs/>
                <w:lang w:eastAsia="en-GB"/>
              </w:rPr>
            </w:pPr>
            <w:r w:rsidRPr="009548FF">
              <w:rPr>
                <w:rFonts w:ascii="Calibri" w:eastAsia="Times New Roman" w:hAnsi="Calibri" w:cs="Calibri"/>
                <w:b/>
                <w:bCs/>
                <w:lang w:eastAsia="en-GB"/>
              </w:rPr>
              <w:t>Total</w:t>
            </w:r>
          </w:p>
        </w:tc>
        <w:tc>
          <w:tcPr>
            <w:tcW w:w="3973" w:type="dxa"/>
            <w:tcBorders>
              <w:top w:val="nil"/>
              <w:left w:val="nil"/>
              <w:bottom w:val="single" w:sz="4" w:space="0" w:color="auto"/>
              <w:right w:val="single" w:sz="4" w:space="0" w:color="auto"/>
            </w:tcBorders>
            <w:shd w:val="clear" w:color="000000" w:fill="DBDBDB"/>
            <w:vAlign w:val="bottom"/>
            <w:hideMark/>
          </w:tcPr>
          <w:p w14:paraId="4153646A" w14:textId="77777777" w:rsidR="009548FF" w:rsidRPr="009548FF" w:rsidRDefault="009548FF" w:rsidP="000D026E">
            <w:pPr>
              <w:spacing w:after="0" w:line="240" w:lineRule="auto"/>
              <w:jc w:val="center"/>
              <w:rPr>
                <w:rFonts w:ascii="Calibri" w:eastAsia="Times New Roman" w:hAnsi="Calibri" w:cs="Calibri"/>
                <w:b/>
                <w:bCs/>
                <w:lang w:eastAsia="en-GB"/>
              </w:rPr>
            </w:pPr>
            <w:r w:rsidRPr="009548FF">
              <w:rPr>
                <w:rFonts w:ascii="Calibri" w:eastAsia="Times New Roman" w:hAnsi="Calibri" w:cs="Calibri"/>
                <w:b/>
                <w:bCs/>
                <w:lang w:eastAsia="en-GB"/>
              </w:rPr>
              <w:t>15.12</w:t>
            </w:r>
          </w:p>
        </w:tc>
        <w:tc>
          <w:tcPr>
            <w:tcW w:w="2434" w:type="dxa"/>
            <w:tcBorders>
              <w:top w:val="nil"/>
              <w:left w:val="nil"/>
              <w:bottom w:val="single" w:sz="4" w:space="0" w:color="auto"/>
              <w:right w:val="single" w:sz="4" w:space="0" w:color="auto"/>
            </w:tcBorders>
            <w:shd w:val="clear" w:color="000000" w:fill="DBDBDB"/>
            <w:vAlign w:val="bottom"/>
            <w:hideMark/>
          </w:tcPr>
          <w:p w14:paraId="374012E5" w14:textId="77777777" w:rsidR="009548FF" w:rsidRPr="009548FF" w:rsidRDefault="009548FF" w:rsidP="000D026E">
            <w:pPr>
              <w:spacing w:after="0" w:line="240" w:lineRule="auto"/>
              <w:jc w:val="center"/>
              <w:rPr>
                <w:rFonts w:ascii="Calibri" w:eastAsia="Times New Roman" w:hAnsi="Calibri" w:cs="Calibri"/>
                <w:b/>
                <w:bCs/>
                <w:lang w:eastAsia="en-GB"/>
              </w:rPr>
            </w:pPr>
            <w:r w:rsidRPr="009548FF">
              <w:rPr>
                <w:rFonts w:ascii="Calibri" w:eastAsia="Times New Roman" w:hAnsi="Calibri" w:cs="Calibri"/>
                <w:b/>
                <w:bCs/>
                <w:lang w:eastAsia="en-GB"/>
              </w:rPr>
              <w:t>5.27</w:t>
            </w:r>
          </w:p>
        </w:tc>
        <w:tc>
          <w:tcPr>
            <w:tcW w:w="2648" w:type="dxa"/>
            <w:tcBorders>
              <w:top w:val="nil"/>
              <w:left w:val="nil"/>
              <w:bottom w:val="single" w:sz="4" w:space="0" w:color="auto"/>
              <w:right w:val="single" w:sz="4" w:space="0" w:color="auto"/>
            </w:tcBorders>
            <w:shd w:val="clear" w:color="000000" w:fill="DBDBDB"/>
            <w:vAlign w:val="bottom"/>
            <w:hideMark/>
          </w:tcPr>
          <w:p w14:paraId="3021B39C" w14:textId="77777777" w:rsidR="009548FF" w:rsidRPr="009548FF" w:rsidRDefault="009548FF" w:rsidP="000D026E">
            <w:pPr>
              <w:spacing w:after="0" w:line="240" w:lineRule="auto"/>
              <w:jc w:val="center"/>
              <w:rPr>
                <w:rFonts w:ascii="Calibri" w:eastAsia="Times New Roman" w:hAnsi="Calibri" w:cs="Calibri"/>
                <w:b/>
                <w:bCs/>
                <w:lang w:eastAsia="en-GB"/>
              </w:rPr>
            </w:pPr>
            <w:r w:rsidRPr="009548FF">
              <w:rPr>
                <w:rFonts w:ascii="Calibri" w:eastAsia="Times New Roman" w:hAnsi="Calibri" w:cs="Calibri"/>
                <w:b/>
                <w:bCs/>
                <w:lang w:eastAsia="en-GB"/>
              </w:rPr>
              <w:t>47.26</w:t>
            </w:r>
          </w:p>
        </w:tc>
      </w:tr>
    </w:tbl>
    <w:p w14:paraId="4CFC2CB9" w14:textId="094B3D2A" w:rsidR="009548FF" w:rsidRDefault="009548FF" w:rsidP="00C25453">
      <w:pPr>
        <w:autoSpaceDE w:val="0"/>
        <w:autoSpaceDN w:val="0"/>
        <w:adjustRightInd w:val="0"/>
        <w:spacing w:after="0" w:line="240" w:lineRule="auto"/>
        <w:jc w:val="both"/>
        <w:rPr>
          <w:rFonts w:ascii="Calibri" w:hAnsi="Calibri" w:cs="Calibri"/>
          <w:b/>
          <w:bCs/>
          <w:sz w:val="24"/>
          <w:szCs w:val="24"/>
        </w:rPr>
      </w:pPr>
    </w:p>
    <w:p w14:paraId="26763034" w14:textId="2DCBAE4B" w:rsidR="009548FF" w:rsidRDefault="009548FF" w:rsidP="00C25453">
      <w:pPr>
        <w:autoSpaceDE w:val="0"/>
        <w:autoSpaceDN w:val="0"/>
        <w:adjustRightInd w:val="0"/>
        <w:spacing w:after="0" w:line="240" w:lineRule="auto"/>
        <w:jc w:val="both"/>
        <w:rPr>
          <w:rFonts w:ascii="Calibri" w:hAnsi="Calibri" w:cs="Calibri"/>
          <w:b/>
          <w:bCs/>
          <w:sz w:val="24"/>
          <w:szCs w:val="24"/>
        </w:rPr>
      </w:pPr>
    </w:p>
    <w:p w14:paraId="79EA2CC0" w14:textId="76E2BA8F" w:rsidR="009F6787" w:rsidRDefault="009F6787" w:rsidP="00C25453">
      <w:pPr>
        <w:autoSpaceDE w:val="0"/>
        <w:autoSpaceDN w:val="0"/>
        <w:adjustRightInd w:val="0"/>
        <w:spacing w:after="0" w:line="240" w:lineRule="auto"/>
        <w:jc w:val="both"/>
        <w:rPr>
          <w:rFonts w:ascii="Calibri" w:hAnsi="Calibri" w:cs="Calibri"/>
          <w:b/>
          <w:bCs/>
          <w:sz w:val="24"/>
          <w:szCs w:val="24"/>
        </w:rPr>
      </w:pPr>
    </w:p>
    <w:p w14:paraId="731C00C0" w14:textId="111D3400" w:rsidR="009F6787" w:rsidRDefault="009F6787" w:rsidP="00C25453">
      <w:pPr>
        <w:autoSpaceDE w:val="0"/>
        <w:autoSpaceDN w:val="0"/>
        <w:adjustRightInd w:val="0"/>
        <w:spacing w:after="0" w:line="240" w:lineRule="auto"/>
        <w:jc w:val="both"/>
        <w:rPr>
          <w:rFonts w:ascii="Calibri" w:hAnsi="Calibri" w:cs="Calibri"/>
          <w:b/>
          <w:bCs/>
          <w:sz w:val="24"/>
          <w:szCs w:val="24"/>
        </w:rPr>
      </w:pPr>
    </w:p>
    <w:p w14:paraId="6E0B6DA9" w14:textId="77777777" w:rsidR="009F6787" w:rsidRPr="004E72FC" w:rsidRDefault="009F6787" w:rsidP="009F6787">
      <w:pPr>
        <w:pStyle w:val="ListParagraph"/>
        <w:numPr>
          <w:ilvl w:val="0"/>
          <w:numId w:val="21"/>
        </w:numPr>
        <w:ind w:left="284" w:hanging="295"/>
        <w:jc w:val="both"/>
        <w:rPr>
          <w:rFonts w:ascii="Calibri" w:hAnsi="Calibri" w:cs="Calibri"/>
          <w:b/>
          <w:u w:val="single"/>
        </w:rPr>
      </w:pPr>
      <w:r w:rsidRPr="004E72FC">
        <w:rPr>
          <w:rFonts w:ascii="Calibri" w:hAnsi="Calibri" w:cs="Calibri"/>
          <w:b/>
          <w:u w:val="single"/>
        </w:rPr>
        <w:t>Energy Efficiency Obligation Scheme</w:t>
      </w:r>
    </w:p>
    <w:p w14:paraId="477AD1C6" w14:textId="77777777" w:rsidR="009F6787" w:rsidRPr="004E72FC" w:rsidRDefault="009F6787" w:rsidP="009F6787">
      <w:pPr>
        <w:jc w:val="both"/>
        <w:rPr>
          <w:rFonts w:ascii="Calibri" w:hAnsi="Calibri" w:cs="Calibri"/>
        </w:rPr>
      </w:pPr>
      <w:r w:rsidRPr="004E72FC">
        <w:rPr>
          <w:rFonts w:ascii="Calibri" w:hAnsi="Calibri" w:cs="Calibri"/>
        </w:rPr>
        <w:t xml:space="preserve">Enemalta plc has achieved a total </w:t>
      </w:r>
      <w:r>
        <w:rPr>
          <w:rFonts w:ascii="Calibri" w:hAnsi="Calibri" w:cs="Calibri"/>
        </w:rPr>
        <w:t xml:space="preserve">annual end-use savings </w:t>
      </w:r>
      <w:r w:rsidRPr="004E72FC">
        <w:rPr>
          <w:rFonts w:ascii="Calibri" w:hAnsi="Calibri" w:cs="Calibri"/>
        </w:rPr>
        <w:t xml:space="preserve">of </w:t>
      </w:r>
      <w:r w:rsidRPr="0040212F">
        <w:rPr>
          <w:rFonts w:ascii="Calibri" w:hAnsi="Calibri" w:cs="Calibri"/>
        </w:rPr>
        <w:t>4,088 MWh during 2018</w:t>
      </w:r>
      <w:r w:rsidRPr="004E72FC">
        <w:rPr>
          <w:rFonts w:ascii="Calibri" w:hAnsi="Calibri" w:cs="Calibri"/>
        </w:rPr>
        <w:t xml:space="preserve"> through the progressiveness of the domestic residential household tariff system and the incentive towards energy efficiency in the tariff structure (eco-reduction). The domestic residential household tariff system adopts a rising block tariff while the energy efficiency incentive provides a financial reward to households with consumption levels below a stipulated level. </w:t>
      </w:r>
    </w:p>
    <w:p w14:paraId="4DCE69A0" w14:textId="77777777" w:rsidR="009F6787" w:rsidRPr="004E72FC" w:rsidRDefault="009F6787" w:rsidP="009F6787">
      <w:pPr>
        <w:jc w:val="both"/>
        <w:rPr>
          <w:rFonts w:ascii="Calibri" w:hAnsi="Calibri" w:cs="Calibri"/>
          <w:u w:val="single"/>
        </w:rPr>
      </w:pPr>
    </w:p>
    <w:p w14:paraId="02B71105" w14:textId="77777777" w:rsidR="009F6787" w:rsidRPr="004E72FC" w:rsidRDefault="009F6787" w:rsidP="009F6787">
      <w:pPr>
        <w:pStyle w:val="ListParagraph"/>
        <w:numPr>
          <w:ilvl w:val="0"/>
          <w:numId w:val="21"/>
        </w:numPr>
        <w:ind w:left="284" w:hanging="295"/>
        <w:jc w:val="both"/>
        <w:rPr>
          <w:rFonts w:ascii="Calibri" w:hAnsi="Calibri" w:cs="Calibri"/>
          <w:b/>
          <w:u w:val="single"/>
        </w:rPr>
      </w:pPr>
      <w:r w:rsidRPr="004E72FC">
        <w:rPr>
          <w:rFonts w:ascii="Calibri" w:hAnsi="Calibri" w:cs="Calibri"/>
          <w:b/>
          <w:u w:val="single"/>
        </w:rPr>
        <w:t>Alternative Policy Measures</w:t>
      </w:r>
    </w:p>
    <w:p w14:paraId="66E028B6" w14:textId="77777777" w:rsidR="009F6787" w:rsidRPr="004E72FC" w:rsidRDefault="009F6787" w:rsidP="009F6787">
      <w:pPr>
        <w:jc w:val="both"/>
        <w:rPr>
          <w:rFonts w:ascii="Calibri" w:hAnsi="Calibri" w:cs="Calibri"/>
          <w:i/>
          <w:u w:val="single"/>
        </w:rPr>
      </w:pPr>
      <w:r w:rsidRPr="004E72FC">
        <w:rPr>
          <w:rFonts w:ascii="Calibri" w:hAnsi="Calibri" w:cs="Calibri"/>
          <w:i/>
          <w:u w:val="single"/>
        </w:rPr>
        <w:t xml:space="preserve">Public Sector leading by Example </w:t>
      </w:r>
    </w:p>
    <w:p w14:paraId="4086B884" w14:textId="77777777" w:rsidR="009F6787" w:rsidRPr="004E72FC" w:rsidRDefault="009F6787" w:rsidP="009F6787">
      <w:pPr>
        <w:jc w:val="both"/>
        <w:rPr>
          <w:rFonts w:ascii="Calibri" w:hAnsi="Calibri" w:cs="Calibri"/>
          <w:sz w:val="23"/>
          <w:szCs w:val="23"/>
        </w:rPr>
      </w:pPr>
      <w:r w:rsidRPr="004E72FC">
        <w:rPr>
          <w:rFonts w:ascii="Calibri" w:hAnsi="Calibri" w:cs="Calibri"/>
          <w:sz w:val="23"/>
          <w:szCs w:val="23"/>
        </w:rPr>
        <w:lastRenderedPageBreak/>
        <w:t>A total</w:t>
      </w:r>
      <w:r>
        <w:rPr>
          <w:rFonts w:ascii="Calibri" w:hAnsi="Calibri" w:cs="Calibri"/>
          <w:sz w:val="23"/>
          <w:szCs w:val="23"/>
        </w:rPr>
        <w:t xml:space="preserve"> annual end-use savings</w:t>
      </w:r>
      <w:r w:rsidRPr="004E72FC">
        <w:rPr>
          <w:rFonts w:ascii="Calibri" w:hAnsi="Calibri" w:cs="Calibri"/>
          <w:sz w:val="23"/>
          <w:szCs w:val="23"/>
        </w:rPr>
        <w:t xml:space="preserve"> </w:t>
      </w:r>
      <w:r w:rsidRPr="0040212F">
        <w:rPr>
          <w:rFonts w:ascii="Calibri" w:hAnsi="Calibri" w:cs="Calibri"/>
          <w:sz w:val="23"/>
          <w:szCs w:val="23"/>
        </w:rPr>
        <w:t xml:space="preserve">of 7,838 MWh </w:t>
      </w:r>
      <w:proofErr w:type="gramStart"/>
      <w:r w:rsidRPr="0040212F">
        <w:rPr>
          <w:rFonts w:ascii="Calibri" w:hAnsi="Calibri" w:cs="Calibri"/>
          <w:sz w:val="23"/>
          <w:szCs w:val="23"/>
        </w:rPr>
        <w:t>were</w:t>
      </w:r>
      <w:proofErr w:type="gramEnd"/>
      <w:r w:rsidRPr="0040212F">
        <w:rPr>
          <w:rFonts w:ascii="Calibri" w:hAnsi="Calibri" w:cs="Calibri"/>
          <w:sz w:val="23"/>
          <w:szCs w:val="23"/>
        </w:rPr>
        <w:t xml:space="preserve"> achieved in 201</w:t>
      </w:r>
      <w:r>
        <w:rPr>
          <w:rFonts w:ascii="Calibri" w:hAnsi="Calibri" w:cs="Calibri"/>
          <w:sz w:val="23"/>
          <w:szCs w:val="23"/>
        </w:rPr>
        <w:t>8</w:t>
      </w:r>
      <w:r w:rsidRPr="004E72FC">
        <w:rPr>
          <w:rFonts w:ascii="Calibri" w:hAnsi="Calibri" w:cs="Calibri"/>
          <w:sz w:val="23"/>
          <w:szCs w:val="23"/>
        </w:rPr>
        <w:t xml:space="preserve"> through measures falling in the category ‘Public Sector leading by Example’. These included savings stemming from retrofitting of energy efficient measures in public schools, retrofitting of energy efficient measures at St Vincent de </w:t>
      </w:r>
      <w:proofErr w:type="spellStart"/>
      <w:r w:rsidRPr="004E72FC">
        <w:rPr>
          <w:rFonts w:ascii="Calibri" w:hAnsi="Calibri" w:cs="Calibri"/>
          <w:sz w:val="23"/>
          <w:szCs w:val="23"/>
        </w:rPr>
        <w:t>Paule</w:t>
      </w:r>
      <w:proofErr w:type="spellEnd"/>
      <w:r w:rsidRPr="004E72FC">
        <w:rPr>
          <w:rFonts w:ascii="Calibri" w:hAnsi="Calibri" w:cs="Calibri"/>
          <w:sz w:val="23"/>
          <w:szCs w:val="23"/>
        </w:rPr>
        <w:t xml:space="preserve"> – Rehabilitation Centre and Old Peoples’ Home, retrofitting of energy efficient measures at Malta Police Force Buildings, street lighting retrofitting in </w:t>
      </w:r>
      <w:proofErr w:type="spellStart"/>
      <w:r w:rsidRPr="004E72FC">
        <w:rPr>
          <w:rFonts w:ascii="Calibri" w:hAnsi="Calibri" w:cs="Calibri"/>
          <w:sz w:val="23"/>
          <w:szCs w:val="23"/>
        </w:rPr>
        <w:t>Gozo</w:t>
      </w:r>
      <w:proofErr w:type="spellEnd"/>
      <w:r>
        <w:rPr>
          <w:rFonts w:ascii="Calibri" w:hAnsi="Calibri" w:cs="Calibri"/>
          <w:sz w:val="23"/>
          <w:szCs w:val="23"/>
        </w:rPr>
        <w:t xml:space="preserve"> and Malta</w:t>
      </w:r>
      <w:r w:rsidRPr="004E72FC">
        <w:rPr>
          <w:rFonts w:ascii="Calibri" w:hAnsi="Calibri" w:cs="Calibri"/>
          <w:sz w:val="23"/>
          <w:szCs w:val="23"/>
        </w:rPr>
        <w:t xml:space="preserve">, the energy efficiency project at </w:t>
      </w:r>
      <w:proofErr w:type="spellStart"/>
      <w:r w:rsidRPr="004E72FC">
        <w:rPr>
          <w:rFonts w:ascii="Calibri" w:hAnsi="Calibri" w:cs="Calibri"/>
          <w:sz w:val="23"/>
          <w:szCs w:val="23"/>
        </w:rPr>
        <w:t>tal-Qroqq</w:t>
      </w:r>
      <w:proofErr w:type="spellEnd"/>
      <w:r w:rsidRPr="004E72FC">
        <w:rPr>
          <w:rFonts w:ascii="Calibri" w:hAnsi="Calibri" w:cs="Calibri"/>
          <w:sz w:val="23"/>
          <w:szCs w:val="23"/>
        </w:rPr>
        <w:t xml:space="preserve"> National Pool, energy efficient lighting at University and Junior College</w:t>
      </w:r>
      <w:r>
        <w:rPr>
          <w:rFonts w:ascii="Calibri" w:hAnsi="Calibri" w:cs="Calibri"/>
          <w:sz w:val="23"/>
          <w:szCs w:val="23"/>
        </w:rPr>
        <w:t>,</w:t>
      </w:r>
      <w:r w:rsidRPr="004E72FC">
        <w:rPr>
          <w:rFonts w:ascii="Calibri" w:hAnsi="Calibri" w:cs="Calibri"/>
          <w:sz w:val="23"/>
          <w:szCs w:val="23"/>
        </w:rPr>
        <w:t xml:space="preserve"> energy efficiency measures at MFSA offices</w:t>
      </w:r>
      <w:r>
        <w:rPr>
          <w:rFonts w:ascii="Calibri" w:hAnsi="Calibri" w:cs="Calibri"/>
          <w:sz w:val="23"/>
          <w:szCs w:val="23"/>
        </w:rPr>
        <w:t>, energy savings as a result of teleworking by government employees and savings as a result of the provision of free school transport</w:t>
      </w:r>
      <w:r w:rsidRPr="004E72FC">
        <w:rPr>
          <w:rFonts w:ascii="Calibri" w:hAnsi="Calibri" w:cs="Calibri"/>
          <w:sz w:val="23"/>
          <w:szCs w:val="23"/>
        </w:rPr>
        <w:t>.</w:t>
      </w:r>
    </w:p>
    <w:p w14:paraId="0B617719" w14:textId="77777777" w:rsidR="009F6787" w:rsidRPr="004E72FC" w:rsidRDefault="009F6787" w:rsidP="009F6787">
      <w:pPr>
        <w:jc w:val="both"/>
        <w:rPr>
          <w:rFonts w:ascii="Calibri" w:hAnsi="Calibri" w:cs="Calibri"/>
          <w:i/>
          <w:sz w:val="23"/>
          <w:szCs w:val="23"/>
        </w:rPr>
      </w:pPr>
    </w:p>
    <w:p w14:paraId="3522B713" w14:textId="77777777" w:rsidR="009F6787" w:rsidRPr="00131A7D" w:rsidRDefault="009F6787" w:rsidP="009F6787">
      <w:pPr>
        <w:jc w:val="both"/>
        <w:rPr>
          <w:rFonts w:ascii="Calibri" w:hAnsi="Calibri" w:cs="Calibri"/>
          <w:i/>
          <w:sz w:val="23"/>
          <w:szCs w:val="23"/>
          <w:u w:val="single"/>
        </w:rPr>
      </w:pPr>
      <w:r w:rsidRPr="00131A7D">
        <w:rPr>
          <w:rFonts w:ascii="Calibri" w:hAnsi="Calibri" w:cs="Calibri"/>
          <w:i/>
          <w:sz w:val="23"/>
          <w:szCs w:val="23"/>
          <w:u w:val="single"/>
        </w:rPr>
        <w:t>Financing Schemes and Instruments and Fiscal Incentives</w:t>
      </w:r>
    </w:p>
    <w:p w14:paraId="0FD62833" w14:textId="4F0B87E9" w:rsidR="009F6787" w:rsidRPr="004E72FC" w:rsidRDefault="009F6787" w:rsidP="009F6787">
      <w:pPr>
        <w:jc w:val="both"/>
        <w:rPr>
          <w:rFonts w:ascii="Calibri" w:hAnsi="Calibri" w:cs="Calibri"/>
          <w:sz w:val="23"/>
          <w:szCs w:val="23"/>
        </w:rPr>
      </w:pPr>
      <w:r w:rsidRPr="004E72FC">
        <w:rPr>
          <w:rFonts w:ascii="Calibri" w:hAnsi="Calibri" w:cs="Calibri"/>
          <w:sz w:val="23"/>
          <w:szCs w:val="23"/>
        </w:rPr>
        <w:t xml:space="preserve">A total </w:t>
      </w:r>
      <w:r>
        <w:rPr>
          <w:rFonts w:ascii="Calibri" w:hAnsi="Calibri" w:cs="Calibri"/>
          <w:sz w:val="23"/>
          <w:szCs w:val="23"/>
        </w:rPr>
        <w:t xml:space="preserve">annual end-use savings </w:t>
      </w:r>
      <w:r w:rsidRPr="009F6787">
        <w:rPr>
          <w:rFonts w:ascii="Calibri" w:hAnsi="Calibri" w:cs="Calibri"/>
          <w:sz w:val="23"/>
          <w:szCs w:val="23"/>
        </w:rPr>
        <w:t>of 96,830</w:t>
      </w:r>
      <w:r w:rsidRPr="004E72FC">
        <w:rPr>
          <w:rFonts w:ascii="Calibri" w:hAnsi="Calibri" w:cs="Calibri"/>
          <w:sz w:val="23"/>
          <w:szCs w:val="23"/>
        </w:rPr>
        <w:t xml:space="preserve"> MWh </w:t>
      </w:r>
      <w:proofErr w:type="gramStart"/>
      <w:r w:rsidRPr="004E72FC">
        <w:rPr>
          <w:rFonts w:ascii="Calibri" w:hAnsi="Calibri" w:cs="Calibri"/>
          <w:sz w:val="23"/>
          <w:szCs w:val="23"/>
        </w:rPr>
        <w:t>were</w:t>
      </w:r>
      <w:proofErr w:type="gramEnd"/>
      <w:r w:rsidRPr="004E72FC">
        <w:rPr>
          <w:rFonts w:ascii="Calibri" w:hAnsi="Calibri" w:cs="Calibri"/>
          <w:sz w:val="23"/>
          <w:szCs w:val="23"/>
        </w:rPr>
        <w:t xml:space="preserve"> achieved in 201</w:t>
      </w:r>
      <w:r>
        <w:rPr>
          <w:rFonts w:ascii="Calibri" w:hAnsi="Calibri" w:cs="Calibri"/>
          <w:sz w:val="23"/>
          <w:szCs w:val="23"/>
        </w:rPr>
        <w:t>8</w:t>
      </w:r>
      <w:r w:rsidRPr="004E72FC">
        <w:rPr>
          <w:rFonts w:ascii="Calibri" w:hAnsi="Calibri" w:cs="Calibri"/>
          <w:sz w:val="23"/>
          <w:szCs w:val="23"/>
        </w:rPr>
        <w:t xml:space="preserve"> through measures falling in the category ‘Financing Schemes and Instruments and Fiscal Incentives’. These included savings stemming from projects carried out in order to improve energy efficiency in Government-owned industry, savings as a result of incentives schemes for double glazing, roof insulation and solar water heaters, energy efficiency measures in low-income households, savings as a result of grant schemes to improve vehicle fleet efficiency and energy which is generated by PV installations and consumed on-site.</w:t>
      </w:r>
    </w:p>
    <w:p w14:paraId="25D0ED44" w14:textId="1219239F" w:rsidR="009F6787" w:rsidRDefault="009F6787" w:rsidP="009F6787">
      <w:pPr>
        <w:jc w:val="both"/>
        <w:rPr>
          <w:rFonts w:ascii="Calibri" w:hAnsi="Calibri" w:cs="Calibri"/>
          <w:sz w:val="23"/>
          <w:szCs w:val="23"/>
        </w:rPr>
      </w:pPr>
    </w:p>
    <w:p w14:paraId="69783758" w14:textId="77777777" w:rsidR="009F6787" w:rsidRPr="004E72FC" w:rsidRDefault="009F6787" w:rsidP="009F6787">
      <w:pPr>
        <w:jc w:val="both"/>
        <w:rPr>
          <w:rFonts w:ascii="Calibri" w:hAnsi="Calibri" w:cs="Calibri"/>
          <w:sz w:val="23"/>
          <w:szCs w:val="23"/>
        </w:rPr>
      </w:pPr>
    </w:p>
    <w:p w14:paraId="5B2B2125" w14:textId="77777777" w:rsidR="009F6787" w:rsidRPr="00131A7D" w:rsidRDefault="009F6787" w:rsidP="009F6787">
      <w:pPr>
        <w:jc w:val="both"/>
        <w:rPr>
          <w:rFonts w:ascii="Calibri" w:hAnsi="Calibri" w:cs="Calibri"/>
          <w:i/>
          <w:sz w:val="23"/>
          <w:szCs w:val="23"/>
          <w:u w:val="single"/>
        </w:rPr>
      </w:pPr>
      <w:r w:rsidRPr="00131A7D">
        <w:rPr>
          <w:rFonts w:ascii="Calibri" w:hAnsi="Calibri" w:cs="Calibri"/>
          <w:i/>
          <w:sz w:val="23"/>
          <w:szCs w:val="23"/>
          <w:u w:val="single"/>
        </w:rPr>
        <w:t>Regulations and Voluntary Agreements</w:t>
      </w:r>
    </w:p>
    <w:p w14:paraId="20A3614F" w14:textId="77777777" w:rsidR="009F6787" w:rsidRDefault="009F6787" w:rsidP="009F6787">
      <w:pPr>
        <w:jc w:val="both"/>
        <w:rPr>
          <w:rFonts w:ascii="Calibri" w:hAnsi="Calibri" w:cs="Calibri"/>
          <w:sz w:val="23"/>
          <w:szCs w:val="23"/>
        </w:rPr>
      </w:pPr>
      <w:r w:rsidRPr="004E72FC">
        <w:rPr>
          <w:rFonts w:ascii="Calibri" w:hAnsi="Calibri" w:cs="Calibri"/>
          <w:sz w:val="23"/>
          <w:szCs w:val="23"/>
        </w:rPr>
        <w:t>A total</w:t>
      </w:r>
      <w:r>
        <w:rPr>
          <w:rFonts w:ascii="Calibri" w:hAnsi="Calibri" w:cs="Calibri"/>
          <w:sz w:val="23"/>
          <w:szCs w:val="23"/>
        </w:rPr>
        <w:t xml:space="preserve"> annual end-use savings</w:t>
      </w:r>
      <w:r w:rsidRPr="004E72FC">
        <w:rPr>
          <w:rFonts w:ascii="Calibri" w:hAnsi="Calibri" w:cs="Calibri"/>
          <w:sz w:val="23"/>
          <w:szCs w:val="23"/>
        </w:rPr>
        <w:t xml:space="preserve"> of </w:t>
      </w:r>
      <w:r>
        <w:rPr>
          <w:rFonts w:ascii="Calibri" w:hAnsi="Calibri" w:cs="Calibri"/>
          <w:sz w:val="23"/>
          <w:szCs w:val="23"/>
        </w:rPr>
        <w:t>67</w:t>
      </w:r>
      <w:r w:rsidRPr="004E72FC">
        <w:rPr>
          <w:rFonts w:ascii="Calibri" w:hAnsi="Calibri" w:cs="Calibri"/>
          <w:sz w:val="23"/>
          <w:szCs w:val="23"/>
        </w:rPr>
        <w:t>,</w:t>
      </w:r>
      <w:r>
        <w:rPr>
          <w:rFonts w:ascii="Calibri" w:hAnsi="Calibri" w:cs="Calibri"/>
          <w:sz w:val="23"/>
          <w:szCs w:val="23"/>
        </w:rPr>
        <w:t>094</w:t>
      </w:r>
      <w:r w:rsidRPr="004E72FC">
        <w:rPr>
          <w:rFonts w:ascii="Calibri" w:hAnsi="Calibri" w:cs="Calibri"/>
          <w:sz w:val="23"/>
          <w:szCs w:val="23"/>
        </w:rPr>
        <w:t xml:space="preserve"> MWh </w:t>
      </w:r>
      <w:proofErr w:type="gramStart"/>
      <w:r w:rsidRPr="004E72FC">
        <w:rPr>
          <w:rFonts w:ascii="Calibri" w:hAnsi="Calibri" w:cs="Calibri"/>
          <w:sz w:val="23"/>
          <w:szCs w:val="23"/>
        </w:rPr>
        <w:t>were</w:t>
      </w:r>
      <w:proofErr w:type="gramEnd"/>
      <w:r w:rsidRPr="004E72FC">
        <w:rPr>
          <w:rFonts w:ascii="Calibri" w:hAnsi="Calibri" w:cs="Calibri"/>
          <w:sz w:val="23"/>
          <w:szCs w:val="23"/>
        </w:rPr>
        <w:t xml:space="preserve"> achieved in 201</w:t>
      </w:r>
      <w:r>
        <w:rPr>
          <w:rFonts w:ascii="Calibri" w:hAnsi="Calibri" w:cs="Calibri"/>
          <w:sz w:val="23"/>
          <w:szCs w:val="23"/>
        </w:rPr>
        <w:t>8</w:t>
      </w:r>
      <w:r w:rsidRPr="004E72FC">
        <w:rPr>
          <w:rFonts w:ascii="Calibri" w:hAnsi="Calibri" w:cs="Calibri"/>
          <w:sz w:val="23"/>
          <w:szCs w:val="23"/>
        </w:rPr>
        <w:t xml:space="preserve"> through measures falling in the category ‘Regulations and Voluntary Agreements’. This category includes energy efficiency measures undertaken by non</w:t>
      </w:r>
      <w:r>
        <w:rPr>
          <w:rFonts w:ascii="Calibri" w:hAnsi="Calibri" w:cs="Calibri"/>
          <w:sz w:val="23"/>
          <w:szCs w:val="23"/>
        </w:rPr>
        <w:t>-</w:t>
      </w:r>
      <w:r w:rsidRPr="004E72FC">
        <w:rPr>
          <w:rFonts w:ascii="Calibri" w:hAnsi="Calibri" w:cs="Calibri"/>
          <w:sz w:val="23"/>
          <w:szCs w:val="23"/>
        </w:rPr>
        <w:t>SMEs under voluntary agreements as well as energy savings resulting from excise duties on motor fuels exceeding EU’s minimum levels.</w:t>
      </w:r>
      <w:r w:rsidRPr="004E72FC" w:rsidDel="00CD4C59">
        <w:rPr>
          <w:rFonts w:ascii="Calibri" w:hAnsi="Calibri" w:cs="Calibri"/>
          <w:sz w:val="23"/>
          <w:szCs w:val="23"/>
        </w:rPr>
        <w:t xml:space="preserve"> </w:t>
      </w:r>
    </w:p>
    <w:p w14:paraId="2F0CFFFA" w14:textId="400224BC" w:rsidR="009F6787" w:rsidRDefault="009F6787" w:rsidP="009F6787">
      <w:pPr>
        <w:jc w:val="both"/>
        <w:rPr>
          <w:rFonts w:ascii="Calibri" w:hAnsi="Calibri" w:cs="Calibri"/>
          <w:sz w:val="23"/>
          <w:szCs w:val="23"/>
        </w:rPr>
      </w:pPr>
    </w:p>
    <w:p w14:paraId="2D481617" w14:textId="13BF9CFC" w:rsidR="009F6787" w:rsidRDefault="009F6787" w:rsidP="009F6787">
      <w:pPr>
        <w:jc w:val="both"/>
        <w:rPr>
          <w:rFonts w:ascii="Calibri" w:hAnsi="Calibri" w:cs="Calibri"/>
          <w:sz w:val="23"/>
          <w:szCs w:val="23"/>
        </w:rPr>
      </w:pPr>
      <w:r>
        <w:rPr>
          <w:rFonts w:ascii="Calibri" w:hAnsi="Calibri" w:cs="Calibri"/>
          <w:sz w:val="23"/>
          <w:szCs w:val="23"/>
        </w:rPr>
        <w:t xml:space="preserve">Energy savings data </w:t>
      </w:r>
      <w:r w:rsidR="00811746">
        <w:rPr>
          <w:rFonts w:ascii="Calibri" w:hAnsi="Calibri" w:cs="Calibri"/>
          <w:sz w:val="23"/>
          <w:szCs w:val="23"/>
        </w:rPr>
        <w:t xml:space="preserve">(total annual savings, new savings and cumulative savings) </w:t>
      </w:r>
      <w:r>
        <w:rPr>
          <w:rFonts w:ascii="Calibri" w:hAnsi="Calibri" w:cs="Calibri"/>
          <w:sz w:val="23"/>
          <w:szCs w:val="23"/>
        </w:rPr>
        <w:t xml:space="preserve">for 2014 – 2017 achieved through the national energy efficiency obligation schemes referred to in Article 7(1) and alternative measures adopted in the application of Article 7(9) are listed here below. </w:t>
      </w:r>
    </w:p>
    <w:tbl>
      <w:tblPr>
        <w:tblW w:w="15026" w:type="dxa"/>
        <w:tblLook w:val="04A0" w:firstRow="1" w:lastRow="0" w:firstColumn="1" w:lastColumn="0" w:noHBand="0" w:noVBand="1"/>
      </w:tblPr>
      <w:tblGrid>
        <w:gridCol w:w="909"/>
        <w:gridCol w:w="1616"/>
        <w:gridCol w:w="2578"/>
        <w:gridCol w:w="1701"/>
        <w:gridCol w:w="2835"/>
        <w:gridCol w:w="2694"/>
        <w:gridCol w:w="2693"/>
      </w:tblGrid>
      <w:tr w:rsidR="003A592D" w:rsidRPr="003A592D" w14:paraId="5A6DA4AF" w14:textId="77777777" w:rsidTr="003A592D">
        <w:trPr>
          <w:trHeight w:val="300"/>
        </w:trPr>
        <w:tc>
          <w:tcPr>
            <w:tcW w:w="5103" w:type="dxa"/>
            <w:gridSpan w:val="3"/>
            <w:tcBorders>
              <w:top w:val="nil"/>
              <w:left w:val="nil"/>
              <w:bottom w:val="nil"/>
              <w:right w:val="nil"/>
            </w:tcBorders>
            <w:shd w:val="clear" w:color="auto" w:fill="auto"/>
            <w:noWrap/>
            <w:vAlign w:val="bottom"/>
            <w:hideMark/>
          </w:tcPr>
          <w:p w14:paraId="56FEBAE2" w14:textId="77777777" w:rsidR="003A592D" w:rsidRPr="003A592D" w:rsidRDefault="003A592D" w:rsidP="003A592D">
            <w:pPr>
              <w:spacing w:after="0" w:line="240" w:lineRule="auto"/>
              <w:rPr>
                <w:rFonts w:ascii="Calibri" w:eastAsia="Times New Roman" w:hAnsi="Calibri" w:cs="Calibri"/>
                <w:b/>
                <w:bCs/>
                <w:color w:val="000000"/>
                <w:lang w:eastAsia="en-GB"/>
              </w:rPr>
            </w:pPr>
            <w:r w:rsidRPr="003A592D">
              <w:rPr>
                <w:rFonts w:ascii="Calibri" w:eastAsia="Times New Roman" w:hAnsi="Calibri" w:cs="Calibri"/>
                <w:b/>
                <w:bCs/>
                <w:color w:val="000000"/>
                <w:lang w:eastAsia="en-GB"/>
              </w:rPr>
              <w:lastRenderedPageBreak/>
              <w:t>TOTAL ANNUAL SAVINGS</w:t>
            </w:r>
          </w:p>
        </w:tc>
        <w:tc>
          <w:tcPr>
            <w:tcW w:w="1701" w:type="dxa"/>
            <w:tcBorders>
              <w:top w:val="nil"/>
              <w:left w:val="nil"/>
              <w:bottom w:val="nil"/>
              <w:right w:val="nil"/>
            </w:tcBorders>
            <w:shd w:val="clear" w:color="auto" w:fill="auto"/>
            <w:noWrap/>
            <w:vAlign w:val="bottom"/>
            <w:hideMark/>
          </w:tcPr>
          <w:p w14:paraId="0554618C" w14:textId="77777777" w:rsidR="003A592D" w:rsidRPr="003A592D" w:rsidRDefault="003A592D" w:rsidP="003A592D">
            <w:pPr>
              <w:spacing w:after="0" w:line="240" w:lineRule="auto"/>
              <w:rPr>
                <w:rFonts w:ascii="Calibri" w:eastAsia="Times New Roman" w:hAnsi="Calibri" w:cs="Calibri"/>
                <w:b/>
                <w:bCs/>
                <w:color w:val="000000"/>
                <w:lang w:eastAsia="en-GB"/>
              </w:rPr>
            </w:pPr>
          </w:p>
        </w:tc>
        <w:tc>
          <w:tcPr>
            <w:tcW w:w="2835" w:type="dxa"/>
            <w:tcBorders>
              <w:top w:val="nil"/>
              <w:left w:val="nil"/>
              <w:bottom w:val="nil"/>
              <w:right w:val="nil"/>
            </w:tcBorders>
            <w:shd w:val="clear" w:color="auto" w:fill="auto"/>
            <w:noWrap/>
            <w:vAlign w:val="bottom"/>
            <w:hideMark/>
          </w:tcPr>
          <w:p w14:paraId="112EEB7D" w14:textId="77777777" w:rsidR="003A592D" w:rsidRPr="003A592D" w:rsidRDefault="003A592D" w:rsidP="003A592D">
            <w:pPr>
              <w:spacing w:after="0" w:line="240" w:lineRule="auto"/>
              <w:rPr>
                <w:rFonts w:ascii="Times New Roman" w:eastAsia="Times New Roman" w:hAnsi="Times New Roman" w:cs="Times New Roman"/>
                <w:sz w:val="20"/>
                <w:szCs w:val="20"/>
                <w:lang w:eastAsia="en-GB"/>
              </w:rPr>
            </w:pPr>
          </w:p>
        </w:tc>
        <w:tc>
          <w:tcPr>
            <w:tcW w:w="2694" w:type="dxa"/>
            <w:tcBorders>
              <w:top w:val="nil"/>
              <w:left w:val="nil"/>
              <w:bottom w:val="nil"/>
              <w:right w:val="nil"/>
            </w:tcBorders>
            <w:shd w:val="clear" w:color="auto" w:fill="auto"/>
            <w:noWrap/>
            <w:vAlign w:val="bottom"/>
            <w:hideMark/>
          </w:tcPr>
          <w:p w14:paraId="500CD3A8" w14:textId="77777777" w:rsidR="003A592D" w:rsidRPr="003A592D" w:rsidRDefault="003A592D" w:rsidP="003A592D">
            <w:pPr>
              <w:spacing w:after="0" w:line="240" w:lineRule="auto"/>
              <w:rPr>
                <w:rFonts w:ascii="Times New Roman" w:eastAsia="Times New Roman" w:hAnsi="Times New Roman" w:cs="Times New Roman"/>
                <w:sz w:val="20"/>
                <w:szCs w:val="20"/>
                <w:lang w:eastAsia="en-GB"/>
              </w:rPr>
            </w:pPr>
          </w:p>
        </w:tc>
        <w:tc>
          <w:tcPr>
            <w:tcW w:w="2693" w:type="dxa"/>
            <w:tcBorders>
              <w:top w:val="nil"/>
              <w:left w:val="nil"/>
              <w:bottom w:val="nil"/>
              <w:right w:val="nil"/>
            </w:tcBorders>
            <w:shd w:val="clear" w:color="auto" w:fill="auto"/>
            <w:noWrap/>
            <w:vAlign w:val="bottom"/>
            <w:hideMark/>
          </w:tcPr>
          <w:p w14:paraId="1720A52E" w14:textId="77777777" w:rsidR="003A592D" w:rsidRPr="003A592D" w:rsidRDefault="003A592D" w:rsidP="003A592D">
            <w:pPr>
              <w:spacing w:after="0" w:line="240" w:lineRule="auto"/>
              <w:rPr>
                <w:rFonts w:ascii="Times New Roman" w:eastAsia="Times New Roman" w:hAnsi="Times New Roman" w:cs="Times New Roman"/>
                <w:sz w:val="20"/>
                <w:szCs w:val="20"/>
                <w:lang w:eastAsia="en-GB"/>
              </w:rPr>
            </w:pPr>
          </w:p>
        </w:tc>
      </w:tr>
      <w:tr w:rsidR="003A592D" w:rsidRPr="003A592D" w14:paraId="75BB251F" w14:textId="77777777" w:rsidTr="003A592D">
        <w:trPr>
          <w:trHeight w:val="2400"/>
        </w:trPr>
        <w:tc>
          <w:tcPr>
            <w:tcW w:w="25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53B8A6"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 xml:space="preserve">Energy savings achieved                                    </w:t>
            </w:r>
            <w:proofErr w:type="gramStart"/>
            <w:r w:rsidRPr="003A592D">
              <w:rPr>
                <w:rFonts w:ascii="Calibri" w:eastAsia="Times New Roman" w:hAnsi="Calibri" w:cs="Calibri"/>
                <w:lang w:eastAsia="en-GB"/>
              </w:rPr>
              <w:t xml:space="preserve">   (</w:t>
            </w:r>
            <w:proofErr w:type="gramEnd"/>
            <w:r w:rsidRPr="003A592D">
              <w:rPr>
                <w:rFonts w:ascii="Calibri" w:eastAsia="Times New Roman" w:hAnsi="Calibri" w:cs="Calibri"/>
                <w:lang w:eastAsia="en-GB"/>
              </w:rPr>
              <w:t>savings achieved from measures and notified under Article 7(2)c) and (d) shall not be part of this table)</w:t>
            </w:r>
          </w:p>
        </w:tc>
        <w:tc>
          <w:tcPr>
            <w:tcW w:w="2578" w:type="dxa"/>
            <w:tcBorders>
              <w:top w:val="single" w:sz="4" w:space="0" w:color="auto"/>
              <w:left w:val="nil"/>
              <w:bottom w:val="nil"/>
              <w:right w:val="single" w:sz="4" w:space="0" w:color="auto"/>
            </w:tcBorders>
            <w:shd w:val="clear" w:color="auto" w:fill="auto"/>
            <w:vAlign w:val="center"/>
            <w:hideMark/>
          </w:tcPr>
          <w:p w14:paraId="15DF8170" w14:textId="6743DC2E" w:rsidR="003A592D" w:rsidRPr="003A592D" w:rsidRDefault="003A592D" w:rsidP="006B4AEC">
            <w:pPr>
              <w:spacing w:after="0" w:line="240" w:lineRule="auto"/>
              <w:rPr>
                <w:rFonts w:ascii="Calibri" w:eastAsia="Times New Roman" w:hAnsi="Calibri" w:cs="Calibri"/>
                <w:lang w:eastAsia="en-GB"/>
              </w:rPr>
            </w:pPr>
            <w:r w:rsidRPr="003A592D">
              <w:rPr>
                <w:rFonts w:ascii="Calibri" w:eastAsia="Times New Roman" w:hAnsi="Calibri" w:cs="Calibri"/>
                <w:lang w:eastAsia="en-GB"/>
              </w:rPr>
              <w:t xml:space="preserve">Policy measure </w:t>
            </w:r>
            <w:r w:rsidRPr="003A592D">
              <w:rPr>
                <w:rFonts w:ascii="Calibri" w:eastAsia="Times New Roman" w:hAnsi="Calibri" w:cs="Calibri"/>
                <w:lang w:eastAsia="en-GB"/>
              </w:rPr>
              <w:br/>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7563F4"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Total annual end-use savings achieved [</w:t>
            </w:r>
            <w:proofErr w:type="spellStart"/>
            <w:r w:rsidRPr="003A592D">
              <w:rPr>
                <w:rFonts w:ascii="Calibri" w:eastAsia="Times New Roman" w:hAnsi="Calibri" w:cs="Calibri"/>
                <w:lang w:eastAsia="en-GB"/>
              </w:rPr>
              <w:t>ktoe</w:t>
            </w:r>
            <w:proofErr w:type="spellEnd"/>
            <w:r w:rsidRPr="003A592D">
              <w:rPr>
                <w:rFonts w:ascii="Calibri" w:eastAsia="Times New Roman" w:hAnsi="Calibri" w:cs="Calibri"/>
                <w:lang w:eastAsia="en-GB"/>
              </w:rPr>
              <w:t xml:space="preserve">] </w:t>
            </w:r>
            <w:r w:rsidRPr="000D026E">
              <w:rPr>
                <w:rFonts w:ascii="Calibri" w:eastAsia="Times New Roman" w:hAnsi="Calibri" w:cs="Calibri"/>
                <w:b/>
                <w:lang w:eastAsia="en-GB"/>
              </w:rPr>
              <w:t>in 2014</w:t>
            </w:r>
            <w:r w:rsidRPr="003A592D">
              <w:rPr>
                <w:rFonts w:ascii="Calibri" w:eastAsia="Times New Roman" w:hAnsi="Calibri" w:cs="Calibri"/>
                <w:lang w:eastAsia="en-GB"/>
              </w:rPr>
              <w:t xml:space="preserve">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4885F4F"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Total annual end-use savings achieved [</w:t>
            </w:r>
            <w:proofErr w:type="spellStart"/>
            <w:r w:rsidRPr="003A592D">
              <w:rPr>
                <w:rFonts w:ascii="Calibri" w:eastAsia="Times New Roman" w:hAnsi="Calibri" w:cs="Calibri"/>
                <w:lang w:eastAsia="en-GB"/>
              </w:rPr>
              <w:t>ktoe</w:t>
            </w:r>
            <w:proofErr w:type="spellEnd"/>
            <w:r w:rsidRPr="003A592D">
              <w:rPr>
                <w:rFonts w:ascii="Calibri" w:eastAsia="Times New Roman" w:hAnsi="Calibri" w:cs="Calibri"/>
                <w:lang w:eastAsia="en-GB"/>
              </w:rPr>
              <w:t xml:space="preserve">] </w:t>
            </w:r>
            <w:r w:rsidRPr="000D026E">
              <w:rPr>
                <w:rFonts w:ascii="Calibri" w:eastAsia="Times New Roman" w:hAnsi="Calibri" w:cs="Calibri"/>
                <w:b/>
                <w:lang w:eastAsia="en-GB"/>
              </w:rPr>
              <w:t>in 2015</w:t>
            </w:r>
            <w:r w:rsidRPr="003A592D">
              <w:rPr>
                <w:rFonts w:ascii="Calibri" w:eastAsia="Times New Roman" w:hAnsi="Calibri" w:cs="Calibri"/>
                <w:lang w:eastAsia="en-GB"/>
              </w:rPr>
              <w:t xml:space="preserve"> </w:t>
            </w:r>
            <w:r w:rsidRPr="003A592D">
              <w:rPr>
                <w:rFonts w:ascii="Calibri" w:eastAsia="Times New Roman" w:hAnsi="Calibri" w:cs="Calibri"/>
                <w:lang w:eastAsia="en-GB"/>
              </w:rPr>
              <w:br/>
              <w:t xml:space="preserve">(amount of savings from actions implemented from </w:t>
            </w:r>
            <w:r w:rsidRPr="003A592D">
              <w:rPr>
                <w:rFonts w:ascii="Calibri" w:eastAsia="Times New Roman" w:hAnsi="Calibri" w:cs="Calibri"/>
                <w:b/>
                <w:bCs/>
                <w:lang w:eastAsia="en-GB"/>
              </w:rPr>
              <w:t xml:space="preserve">2014 to 2015 </w:t>
            </w:r>
            <w:r w:rsidRPr="003A592D">
              <w:rPr>
                <w:rFonts w:ascii="Calibri" w:eastAsia="Times New Roman" w:hAnsi="Calibri" w:cs="Calibri"/>
                <w:lang w:eastAsia="en-GB"/>
              </w:rPr>
              <w:t>that delivered savings in 2015)</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EBD211B"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Total annual end-use savings achieved [</w:t>
            </w:r>
            <w:proofErr w:type="spellStart"/>
            <w:r w:rsidRPr="003A592D">
              <w:rPr>
                <w:rFonts w:ascii="Calibri" w:eastAsia="Times New Roman" w:hAnsi="Calibri" w:cs="Calibri"/>
                <w:lang w:eastAsia="en-GB"/>
              </w:rPr>
              <w:t>ktoe</w:t>
            </w:r>
            <w:proofErr w:type="spellEnd"/>
            <w:r w:rsidRPr="003A592D">
              <w:rPr>
                <w:rFonts w:ascii="Calibri" w:eastAsia="Times New Roman" w:hAnsi="Calibri" w:cs="Calibri"/>
                <w:lang w:eastAsia="en-GB"/>
              </w:rPr>
              <w:t xml:space="preserve">] </w:t>
            </w:r>
            <w:r w:rsidRPr="000D026E">
              <w:rPr>
                <w:rFonts w:ascii="Calibri" w:eastAsia="Times New Roman" w:hAnsi="Calibri" w:cs="Calibri"/>
                <w:b/>
                <w:lang w:eastAsia="en-GB"/>
              </w:rPr>
              <w:t xml:space="preserve">in 2016 </w:t>
            </w:r>
            <w:r w:rsidRPr="000D026E">
              <w:rPr>
                <w:rFonts w:ascii="Calibri" w:eastAsia="Times New Roman" w:hAnsi="Calibri" w:cs="Calibri"/>
                <w:b/>
                <w:lang w:eastAsia="en-GB"/>
              </w:rPr>
              <w:br/>
            </w:r>
            <w:r w:rsidRPr="003A592D">
              <w:rPr>
                <w:rFonts w:ascii="Calibri" w:eastAsia="Times New Roman" w:hAnsi="Calibri" w:cs="Calibri"/>
                <w:lang w:eastAsia="en-GB"/>
              </w:rPr>
              <w:t xml:space="preserve">(amount of savings from actions implemented from </w:t>
            </w:r>
            <w:r w:rsidRPr="003A592D">
              <w:rPr>
                <w:rFonts w:ascii="Calibri" w:eastAsia="Times New Roman" w:hAnsi="Calibri" w:cs="Calibri"/>
                <w:b/>
                <w:bCs/>
                <w:lang w:eastAsia="en-GB"/>
              </w:rPr>
              <w:t xml:space="preserve">2014 to 2016 </w:t>
            </w:r>
            <w:r w:rsidRPr="003A592D">
              <w:rPr>
                <w:rFonts w:ascii="Calibri" w:eastAsia="Times New Roman" w:hAnsi="Calibri" w:cs="Calibri"/>
                <w:lang w:eastAsia="en-GB"/>
              </w:rPr>
              <w:t>that delivered savings in 2016)</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8ABE69E"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Total annual end-use savings achieved [</w:t>
            </w:r>
            <w:proofErr w:type="spellStart"/>
            <w:r w:rsidRPr="003A592D">
              <w:rPr>
                <w:rFonts w:ascii="Calibri" w:eastAsia="Times New Roman" w:hAnsi="Calibri" w:cs="Calibri"/>
                <w:lang w:eastAsia="en-GB"/>
              </w:rPr>
              <w:t>ktoe</w:t>
            </w:r>
            <w:proofErr w:type="spellEnd"/>
            <w:r w:rsidRPr="003A592D">
              <w:rPr>
                <w:rFonts w:ascii="Calibri" w:eastAsia="Times New Roman" w:hAnsi="Calibri" w:cs="Calibri"/>
                <w:lang w:eastAsia="en-GB"/>
              </w:rPr>
              <w:t xml:space="preserve">] </w:t>
            </w:r>
            <w:r w:rsidRPr="000D026E">
              <w:rPr>
                <w:rFonts w:ascii="Calibri" w:eastAsia="Times New Roman" w:hAnsi="Calibri" w:cs="Calibri"/>
                <w:b/>
                <w:lang w:eastAsia="en-GB"/>
              </w:rPr>
              <w:t xml:space="preserve">in 2017 </w:t>
            </w:r>
            <w:r w:rsidRPr="000D026E">
              <w:rPr>
                <w:rFonts w:ascii="Calibri" w:eastAsia="Times New Roman" w:hAnsi="Calibri" w:cs="Calibri"/>
                <w:b/>
                <w:lang w:eastAsia="en-GB"/>
              </w:rPr>
              <w:br/>
            </w:r>
            <w:r w:rsidRPr="003A592D">
              <w:rPr>
                <w:rFonts w:ascii="Calibri" w:eastAsia="Times New Roman" w:hAnsi="Calibri" w:cs="Calibri"/>
                <w:lang w:eastAsia="en-GB"/>
              </w:rPr>
              <w:t xml:space="preserve">(amount of savings from new actions implemented from </w:t>
            </w:r>
            <w:r w:rsidRPr="003A592D">
              <w:rPr>
                <w:rFonts w:ascii="Calibri" w:eastAsia="Times New Roman" w:hAnsi="Calibri" w:cs="Calibri"/>
                <w:b/>
                <w:bCs/>
                <w:lang w:eastAsia="en-GB"/>
              </w:rPr>
              <w:t xml:space="preserve">2014 to 2017 </w:t>
            </w:r>
            <w:r w:rsidRPr="003A592D">
              <w:rPr>
                <w:rFonts w:ascii="Calibri" w:eastAsia="Times New Roman" w:hAnsi="Calibri" w:cs="Calibri"/>
                <w:lang w:eastAsia="en-GB"/>
              </w:rPr>
              <w:t>that delivered savings in 2017)</w:t>
            </w:r>
          </w:p>
        </w:tc>
      </w:tr>
      <w:tr w:rsidR="003A592D" w:rsidRPr="003A592D" w14:paraId="0AE65202" w14:textId="77777777" w:rsidTr="003A592D">
        <w:trPr>
          <w:trHeight w:val="300"/>
        </w:trPr>
        <w:tc>
          <w:tcPr>
            <w:tcW w:w="909" w:type="dxa"/>
            <w:tcBorders>
              <w:top w:val="nil"/>
              <w:left w:val="single" w:sz="4" w:space="0" w:color="auto"/>
              <w:bottom w:val="single" w:sz="4" w:space="0" w:color="auto"/>
              <w:right w:val="single" w:sz="4" w:space="0" w:color="auto"/>
            </w:tcBorders>
            <w:shd w:val="clear" w:color="auto" w:fill="auto"/>
            <w:vAlign w:val="center"/>
            <w:hideMark/>
          </w:tcPr>
          <w:p w14:paraId="278BFB7E"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44-1</w:t>
            </w:r>
          </w:p>
        </w:tc>
        <w:tc>
          <w:tcPr>
            <w:tcW w:w="1616" w:type="dxa"/>
            <w:tcBorders>
              <w:top w:val="nil"/>
              <w:left w:val="nil"/>
              <w:bottom w:val="single" w:sz="4" w:space="0" w:color="auto"/>
              <w:right w:val="single" w:sz="4" w:space="0" w:color="auto"/>
            </w:tcBorders>
            <w:shd w:val="clear" w:color="auto" w:fill="auto"/>
            <w:vAlign w:val="center"/>
            <w:hideMark/>
          </w:tcPr>
          <w:p w14:paraId="403BD389" w14:textId="77777777" w:rsidR="003A592D" w:rsidRPr="003A592D" w:rsidRDefault="003A592D" w:rsidP="003A592D">
            <w:pPr>
              <w:spacing w:after="0" w:line="240" w:lineRule="auto"/>
              <w:rPr>
                <w:rFonts w:ascii="Calibri" w:eastAsia="Times New Roman" w:hAnsi="Calibri" w:cs="Calibri"/>
                <w:lang w:eastAsia="en-GB"/>
              </w:rPr>
            </w:pPr>
            <w:r w:rsidRPr="003A592D">
              <w:rPr>
                <w:rFonts w:ascii="Calibri" w:eastAsia="Times New Roman" w:hAnsi="Calibri" w:cs="Calibri"/>
                <w:lang w:eastAsia="en-GB"/>
              </w:rPr>
              <w:t>EEOS</w:t>
            </w:r>
          </w:p>
        </w:tc>
        <w:tc>
          <w:tcPr>
            <w:tcW w:w="2578" w:type="dxa"/>
            <w:tcBorders>
              <w:top w:val="single" w:sz="4" w:space="0" w:color="auto"/>
              <w:left w:val="nil"/>
              <w:bottom w:val="single" w:sz="4" w:space="0" w:color="auto"/>
              <w:right w:val="single" w:sz="4" w:space="0" w:color="auto"/>
            </w:tcBorders>
            <w:shd w:val="clear" w:color="000000" w:fill="DBDBDB"/>
            <w:vAlign w:val="center"/>
            <w:hideMark/>
          </w:tcPr>
          <w:p w14:paraId="522F028A"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Energy Efficiency Obligation Scheme</w:t>
            </w:r>
          </w:p>
        </w:tc>
        <w:tc>
          <w:tcPr>
            <w:tcW w:w="1701" w:type="dxa"/>
            <w:tcBorders>
              <w:top w:val="nil"/>
              <w:left w:val="nil"/>
              <w:bottom w:val="single" w:sz="4" w:space="0" w:color="auto"/>
              <w:right w:val="single" w:sz="4" w:space="0" w:color="auto"/>
            </w:tcBorders>
            <w:shd w:val="clear" w:color="000000" w:fill="DBDBDB"/>
            <w:vAlign w:val="bottom"/>
            <w:hideMark/>
          </w:tcPr>
          <w:p w14:paraId="708144D1" w14:textId="4CD0F1FA"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0.73</w:t>
            </w:r>
          </w:p>
        </w:tc>
        <w:tc>
          <w:tcPr>
            <w:tcW w:w="2835" w:type="dxa"/>
            <w:tcBorders>
              <w:top w:val="nil"/>
              <w:left w:val="nil"/>
              <w:bottom w:val="single" w:sz="4" w:space="0" w:color="auto"/>
              <w:right w:val="single" w:sz="4" w:space="0" w:color="auto"/>
            </w:tcBorders>
            <w:shd w:val="clear" w:color="000000" w:fill="DBDBDB"/>
            <w:vAlign w:val="bottom"/>
            <w:hideMark/>
          </w:tcPr>
          <w:p w14:paraId="2A39FA37" w14:textId="54617869"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0.84</w:t>
            </w:r>
          </w:p>
        </w:tc>
        <w:tc>
          <w:tcPr>
            <w:tcW w:w="2694" w:type="dxa"/>
            <w:tcBorders>
              <w:top w:val="nil"/>
              <w:left w:val="nil"/>
              <w:bottom w:val="single" w:sz="4" w:space="0" w:color="auto"/>
              <w:right w:val="single" w:sz="4" w:space="0" w:color="auto"/>
            </w:tcBorders>
            <w:shd w:val="clear" w:color="000000" w:fill="DBDBDB"/>
            <w:vAlign w:val="bottom"/>
            <w:hideMark/>
          </w:tcPr>
          <w:p w14:paraId="0D40E63A" w14:textId="742A87AD"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0.35</w:t>
            </w:r>
          </w:p>
        </w:tc>
        <w:tc>
          <w:tcPr>
            <w:tcW w:w="2693" w:type="dxa"/>
            <w:tcBorders>
              <w:top w:val="nil"/>
              <w:left w:val="nil"/>
              <w:bottom w:val="single" w:sz="4" w:space="0" w:color="auto"/>
              <w:right w:val="single" w:sz="4" w:space="0" w:color="auto"/>
            </w:tcBorders>
            <w:shd w:val="clear" w:color="000000" w:fill="DBDBDB"/>
            <w:vAlign w:val="bottom"/>
            <w:hideMark/>
          </w:tcPr>
          <w:p w14:paraId="0DCCF52C" w14:textId="134D5E06"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0.39</w:t>
            </w:r>
          </w:p>
        </w:tc>
      </w:tr>
      <w:tr w:rsidR="003A592D" w:rsidRPr="003A592D" w14:paraId="74DA71A3" w14:textId="77777777" w:rsidTr="003A592D">
        <w:trPr>
          <w:trHeight w:val="600"/>
        </w:trPr>
        <w:tc>
          <w:tcPr>
            <w:tcW w:w="909" w:type="dxa"/>
            <w:tcBorders>
              <w:top w:val="nil"/>
              <w:left w:val="single" w:sz="4" w:space="0" w:color="auto"/>
              <w:bottom w:val="single" w:sz="4" w:space="0" w:color="auto"/>
              <w:right w:val="single" w:sz="4" w:space="0" w:color="auto"/>
            </w:tcBorders>
            <w:shd w:val="clear" w:color="auto" w:fill="auto"/>
            <w:vAlign w:val="center"/>
            <w:hideMark/>
          </w:tcPr>
          <w:p w14:paraId="40E4D2F8"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44-2</w:t>
            </w:r>
          </w:p>
        </w:tc>
        <w:tc>
          <w:tcPr>
            <w:tcW w:w="1616" w:type="dxa"/>
            <w:tcBorders>
              <w:top w:val="nil"/>
              <w:left w:val="nil"/>
              <w:bottom w:val="single" w:sz="4" w:space="0" w:color="auto"/>
              <w:right w:val="single" w:sz="4" w:space="0" w:color="auto"/>
            </w:tcBorders>
            <w:shd w:val="clear" w:color="auto" w:fill="auto"/>
            <w:vAlign w:val="center"/>
            <w:hideMark/>
          </w:tcPr>
          <w:p w14:paraId="257E4F6F" w14:textId="77777777" w:rsidR="003A592D" w:rsidRPr="003A592D" w:rsidRDefault="003A592D" w:rsidP="003A592D">
            <w:pPr>
              <w:spacing w:after="0" w:line="240" w:lineRule="auto"/>
              <w:rPr>
                <w:rFonts w:ascii="Calibri" w:eastAsia="Times New Roman" w:hAnsi="Calibri" w:cs="Calibri"/>
                <w:lang w:eastAsia="en-GB"/>
              </w:rPr>
            </w:pPr>
            <w:r w:rsidRPr="003A592D">
              <w:rPr>
                <w:rFonts w:ascii="Calibri" w:eastAsia="Times New Roman" w:hAnsi="Calibri" w:cs="Calibri"/>
                <w:lang w:eastAsia="en-GB"/>
              </w:rPr>
              <w:t>Alternative measure 1</w:t>
            </w:r>
          </w:p>
        </w:tc>
        <w:tc>
          <w:tcPr>
            <w:tcW w:w="2578" w:type="dxa"/>
            <w:tcBorders>
              <w:top w:val="nil"/>
              <w:left w:val="nil"/>
              <w:bottom w:val="single" w:sz="4" w:space="0" w:color="auto"/>
              <w:right w:val="single" w:sz="4" w:space="0" w:color="auto"/>
            </w:tcBorders>
            <w:shd w:val="clear" w:color="000000" w:fill="DBDBDB"/>
            <w:vAlign w:val="center"/>
            <w:hideMark/>
          </w:tcPr>
          <w:p w14:paraId="79BA18E8"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Public Sector Leading by Example</w:t>
            </w:r>
          </w:p>
        </w:tc>
        <w:tc>
          <w:tcPr>
            <w:tcW w:w="1701" w:type="dxa"/>
            <w:tcBorders>
              <w:top w:val="nil"/>
              <w:left w:val="nil"/>
              <w:bottom w:val="single" w:sz="4" w:space="0" w:color="auto"/>
              <w:right w:val="single" w:sz="4" w:space="0" w:color="auto"/>
            </w:tcBorders>
            <w:shd w:val="clear" w:color="000000" w:fill="DBDBDB"/>
            <w:vAlign w:val="bottom"/>
            <w:hideMark/>
          </w:tcPr>
          <w:p w14:paraId="735A7656" w14:textId="5E94E34F"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0.00</w:t>
            </w:r>
          </w:p>
        </w:tc>
        <w:tc>
          <w:tcPr>
            <w:tcW w:w="2835" w:type="dxa"/>
            <w:tcBorders>
              <w:top w:val="nil"/>
              <w:left w:val="nil"/>
              <w:bottom w:val="single" w:sz="4" w:space="0" w:color="auto"/>
              <w:right w:val="single" w:sz="4" w:space="0" w:color="auto"/>
            </w:tcBorders>
            <w:shd w:val="clear" w:color="000000" w:fill="DBDBDB"/>
            <w:vAlign w:val="bottom"/>
            <w:hideMark/>
          </w:tcPr>
          <w:p w14:paraId="707ABD65" w14:textId="2CFDD988"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0.13</w:t>
            </w:r>
          </w:p>
        </w:tc>
        <w:tc>
          <w:tcPr>
            <w:tcW w:w="2694" w:type="dxa"/>
            <w:tcBorders>
              <w:top w:val="nil"/>
              <w:left w:val="nil"/>
              <w:bottom w:val="single" w:sz="4" w:space="0" w:color="auto"/>
              <w:right w:val="single" w:sz="4" w:space="0" w:color="auto"/>
            </w:tcBorders>
            <w:shd w:val="clear" w:color="000000" w:fill="DBDBDB"/>
            <w:vAlign w:val="bottom"/>
            <w:hideMark/>
          </w:tcPr>
          <w:p w14:paraId="2FC0CB25" w14:textId="08C82E8E"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0.56</w:t>
            </w:r>
          </w:p>
        </w:tc>
        <w:tc>
          <w:tcPr>
            <w:tcW w:w="2693" w:type="dxa"/>
            <w:tcBorders>
              <w:top w:val="nil"/>
              <w:left w:val="nil"/>
              <w:bottom w:val="single" w:sz="4" w:space="0" w:color="auto"/>
              <w:right w:val="single" w:sz="4" w:space="0" w:color="auto"/>
            </w:tcBorders>
            <w:shd w:val="clear" w:color="000000" w:fill="DBDBDB"/>
            <w:vAlign w:val="bottom"/>
            <w:hideMark/>
          </w:tcPr>
          <w:p w14:paraId="123E233C" w14:textId="00D47B1F"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0.55</w:t>
            </w:r>
          </w:p>
        </w:tc>
      </w:tr>
      <w:tr w:rsidR="003A592D" w:rsidRPr="003A592D" w14:paraId="168EA03D" w14:textId="77777777" w:rsidTr="003A592D">
        <w:trPr>
          <w:trHeight w:val="600"/>
        </w:trPr>
        <w:tc>
          <w:tcPr>
            <w:tcW w:w="909" w:type="dxa"/>
            <w:tcBorders>
              <w:top w:val="nil"/>
              <w:left w:val="single" w:sz="4" w:space="0" w:color="auto"/>
              <w:bottom w:val="single" w:sz="4" w:space="0" w:color="auto"/>
              <w:right w:val="single" w:sz="4" w:space="0" w:color="auto"/>
            </w:tcBorders>
            <w:shd w:val="clear" w:color="auto" w:fill="auto"/>
            <w:vAlign w:val="center"/>
            <w:hideMark/>
          </w:tcPr>
          <w:p w14:paraId="7B4666EF"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44-3</w:t>
            </w:r>
          </w:p>
        </w:tc>
        <w:tc>
          <w:tcPr>
            <w:tcW w:w="1616" w:type="dxa"/>
            <w:tcBorders>
              <w:top w:val="nil"/>
              <w:left w:val="nil"/>
              <w:bottom w:val="single" w:sz="4" w:space="0" w:color="auto"/>
              <w:right w:val="single" w:sz="4" w:space="0" w:color="auto"/>
            </w:tcBorders>
            <w:shd w:val="clear" w:color="auto" w:fill="auto"/>
            <w:vAlign w:val="center"/>
            <w:hideMark/>
          </w:tcPr>
          <w:p w14:paraId="56E7CE3E" w14:textId="77777777" w:rsidR="003A592D" w:rsidRPr="003A592D" w:rsidRDefault="003A592D" w:rsidP="003A592D">
            <w:pPr>
              <w:spacing w:after="0" w:line="240" w:lineRule="auto"/>
              <w:rPr>
                <w:rFonts w:ascii="Calibri" w:eastAsia="Times New Roman" w:hAnsi="Calibri" w:cs="Calibri"/>
                <w:lang w:eastAsia="en-GB"/>
              </w:rPr>
            </w:pPr>
            <w:r w:rsidRPr="003A592D">
              <w:rPr>
                <w:rFonts w:ascii="Calibri" w:eastAsia="Times New Roman" w:hAnsi="Calibri" w:cs="Calibri"/>
                <w:lang w:eastAsia="en-GB"/>
              </w:rPr>
              <w:t>Alternative measure 2</w:t>
            </w:r>
          </w:p>
        </w:tc>
        <w:tc>
          <w:tcPr>
            <w:tcW w:w="2578" w:type="dxa"/>
            <w:tcBorders>
              <w:top w:val="nil"/>
              <w:left w:val="nil"/>
              <w:bottom w:val="single" w:sz="4" w:space="0" w:color="auto"/>
              <w:right w:val="single" w:sz="4" w:space="0" w:color="auto"/>
            </w:tcBorders>
            <w:shd w:val="clear" w:color="000000" w:fill="DBDBDB"/>
            <w:vAlign w:val="center"/>
            <w:hideMark/>
          </w:tcPr>
          <w:p w14:paraId="15DFFE43"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Financing Schemes and instruments and fiscal incentives</w:t>
            </w:r>
          </w:p>
        </w:tc>
        <w:tc>
          <w:tcPr>
            <w:tcW w:w="1701" w:type="dxa"/>
            <w:tcBorders>
              <w:top w:val="nil"/>
              <w:left w:val="nil"/>
              <w:bottom w:val="single" w:sz="4" w:space="0" w:color="auto"/>
              <w:right w:val="single" w:sz="4" w:space="0" w:color="auto"/>
            </w:tcBorders>
            <w:shd w:val="clear" w:color="000000" w:fill="DBDBDB"/>
            <w:vAlign w:val="bottom"/>
            <w:hideMark/>
          </w:tcPr>
          <w:p w14:paraId="4D2A0CBB" w14:textId="4CF0746D"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2.69</w:t>
            </w:r>
          </w:p>
        </w:tc>
        <w:tc>
          <w:tcPr>
            <w:tcW w:w="2835" w:type="dxa"/>
            <w:tcBorders>
              <w:top w:val="nil"/>
              <w:left w:val="nil"/>
              <w:bottom w:val="single" w:sz="4" w:space="0" w:color="auto"/>
              <w:right w:val="single" w:sz="4" w:space="0" w:color="auto"/>
            </w:tcBorders>
            <w:shd w:val="clear" w:color="000000" w:fill="DBDBDB"/>
            <w:vAlign w:val="bottom"/>
            <w:hideMark/>
          </w:tcPr>
          <w:p w14:paraId="61374B35" w14:textId="43ED03B0"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4.34</w:t>
            </w:r>
          </w:p>
        </w:tc>
        <w:tc>
          <w:tcPr>
            <w:tcW w:w="2694" w:type="dxa"/>
            <w:tcBorders>
              <w:top w:val="nil"/>
              <w:left w:val="nil"/>
              <w:bottom w:val="single" w:sz="4" w:space="0" w:color="auto"/>
              <w:right w:val="single" w:sz="4" w:space="0" w:color="auto"/>
            </w:tcBorders>
            <w:shd w:val="clear" w:color="000000" w:fill="DBDBDB"/>
            <w:vAlign w:val="bottom"/>
            <w:hideMark/>
          </w:tcPr>
          <w:p w14:paraId="214D11F6" w14:textId="57BBB923"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5.19</w:t>
            </w:r>
          </w:p>
        </w:tc>
        <w:tc>
          <w:tcPr>
            <w:tcW w:w="2693" w:type="dxa"/>
            <w:tcBorders>
              <w:top w:val="nil"/>
              <w:left w:val="nil"/>
              <w:bottom w:val="single" w:sz="4" w:space="0" w:color="auto"/>
              <w:right w:val="single" w:sz="4" w:space="0" w:color="auto"/>
            </w:tcBorders>
            <w:shd w:val="clear" w:color="000000" w:fill="DBDBDB"/>
            <w:vAlign w:val="bottom"/>
            <w:hideMark/>
          </w:tcPr>
          <w:p w14:paraId="24B6DED0" w14:textId="22E77F1F"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7.60</w:t>
            </w:r>
          </w:p>
        </w:tc>
      </w:tr>
      <w:tr w:rsidR="003A592D" w:rsidRPr="003A592D" w14:paraId="66B958BB" w14:textId="77777777" w:rsidTr="003A592D">
        <w:trPr>
          <w:trHeight w:val="600"/>
        </w:trPr>
        <w:tc>
          <w:tcPr>
            <w:tcW w:w="909" w:type="dxa"/>
            <w:tcBorders>
              <w:top w:val="nil"/>
              <w:left w:val="single" w:sz="4" w:space="0" w:color="auto"/>
              <w:bottom w:val="single" w:sz="4" w:space="0" w:color="auto"/>
              <w:right w:val="single" w:sz="4" w:space="0" w:color="auto"/>
            </w:tcBorders>
            <w:shd w:val="clear" w:color="auto" w:fill="auto"/>
            <w:vAlign w:val="center"/>
            <w:hideMark/>
          </w:tcPr>
          <w:p w14:paraId="78A6135B"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44-3</w:t>
            </w:r>
          </w:p>
        </w:tc>
        <w:tc>
          <w:tcPr>
            <w:tcW w:w="1616" w:type="dxa"/>
            <w:tcBorders>
              <w:top w:val="nil"/>
              <w:left w:val="nil"/>
              <w:bottom w:val="single" w:sz="4" w:space="0" w:color="auto"/>
              <w:right w:val="single" w:sz="4" w:space="0" w:color="auto"/>
            </w:tcBorders>
            <w:shd w:val="clear" w:color="auto" w:fill="auto"/>
            <w:vAlign w:val="center"/>
            <w:hideMark/>
          </w:tcPr>
          <w:p w14:paraId="16418A0A" w14:textId="77777777" w:rsidR="003A592D" w:rsidRPr="003A592D" w:rsidRDefault="003A592D" w:rsidP="003A592D">
            <w:pPr>
              <w:spacing w:after="0" w:line="240" w:lineRule="auto"/>
              <w:rPr>
                <w:rFonts w:ascii="Calibri" w:eastAsia="Times New Roman" w:hAnsi="Calibri" w:cs="Calibri"/>
                <w:lang w:eastAsia="en-GB"/>
              </w:rPr>
            </w:pPr>
            <w:r w:rsidRPr="003A592D">
              <w:rPr>
                <w:rFonts w:ascii="Calibri" w:eastAsia="Times New Roman" w:hAnsi="Calibri" w:cs="Calibri"/>
                <w:lang w:eastAsia="en-GB"/>
              </w:rPr>
              <w:t>Alternative measure 2</w:t>
            </w:r>
          </w:p>
        </w:tc>
        <w:tc>
          <w:tcPr>
            <w:tcW w:w="2578" w:type="dxa"/>
            <w:tcBorders>
              <w:top w:val="nil"/>
              <w:left w:val="nil"/>
              <w:bottom w:val="single" w:sz="4" w:space="0" w:color="auto"/>
              <w:right w:val="single" w:sz="4" w:space="0" w:color="auto"/>
            </w:tcBorders>
            <w:shd w:val="clear" w:color="000000" w:fill="DBDBDB"/>
            <w:vAlign w:val="center"/>
            <w:hideMark/>
          </w:tcPr>
          <w:p w14:paraId="6B595E66" w14:textId="77777777"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Regulations and Voluntary Agreements</w:t>
            </w:r>
          </w:p>
        </w:tc>
        <w:tc>
          <w:tcPr>
            <w:tcW w:w="1701" w:type="dxa"/>
            <w:tcBorders>
              <w:top w:val="nil"/>
              <w:left w:val="nil"/>
              <w:bottom w:val="single" w:sz="4" w:space="0" w:color="auto"/>
              <w:right w:val="single" w:sz="4" w:space="0" w:color="auto"/>
            </w:tcBorders>
            <w:shd w:val="clear" w:color="000000" w:fill="DBDBDB"/>
            <w:vAlign w:val="bottom"/>
            <w:hideMark/>
          </w:tcPr>
          <w:p w14:paraId="5E8754CE" w14:textId="15900D63"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0.83</w:t>
            </w:r>
          </w:p>
        </w:tc>
        <w:tc>
          <w:tcPr>
            <w:tcW w:w="2835" w:type="dxa"/>
            <w:tcBorders>
              <w:top w:val="nil"/>
              <w:left w:val="nil"/>
              <w:bottom w:val="single" w:sz="4" w:space="0" w:color="auto"/>
              <w:right w:val="single" w:sz="4" w:space="0" w:color="auto"/>
            </w:tcBorders>
            <w:shd w:val="clear" w:color="000000" w:fill="DBDBDB"/>
            <w:vAlign w:val="bottom"/>
            <w:hideMark/>
          </w:tcPr>
          <w:p w14:paraId="08CD5674" w14:textId="056CB79F"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1.31</w:t>
            </w:r>
          </w:p>
        </w:tc>
        <w:tc>
          <w:tcPr>
            <w:tcW w:w="2694" w:type="dxa"/>
            <w:tcBorders>
              <w:top w:val="nil"/>
              <w:left w:val="nil"/>
              <w:bottom w:val="single" w:sz="4" w:space="0" w:color="auto"/>
              <w:right w:val="single" w:sz="4" w:space="0" w:color="auto"/>
            </w:tcBorders>
            <w:shd w:val="clear" w:color="000000" w:fill="DBDBDB"/>
            <w:vAlign w:val="bottom"/>
            <w:hideMark/>
          </w:tcPr>
          <w:p w14:paraId="487A5E08" w14:textId="743754AC"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2.59</w:t>
            </w:r>
          </w:p>
        </w:tc>
        <w:tc>
          <w:tcPr>
            <w:tcW w:w="2693" w:type="dxa"/>
            <w:tcBorders>
              <w:top w:val="nil"/>
              <w:left w:val="nil"/>
              <w:bottom w:val="single" w:sz="4" w:space="0" w:color="auto"/>
              <w:right w:val="single" w:sz="4" w:space="0" w:color="auto"/>
            </w:tcBorders>
            <w:shd w:val="clear" w:color="000000" w:fill="DBDBDB"/>
            <w:vAlign w:val="bottom"/>
            <w:hideMark/>
          </w:tcPr>
          <w:p w14:paraId="19763419" w14:textId="7ACEB972" w:rsidR="003A592D" w:rsidRPr="003A592D" w:rsidRDefault="003A592D" w:rsidP="003A592D">
            <w:pPr>
              <w:spacing w:after="0" w:line="240" w:lineRule="auto"/>
              <w:jc w:val="center"/>
              <w:rPr>
                <w:rFonts w:ascii="Calibri" w:eastAsia="Times New Roman" w:hAnsi="Calibri" w:cs="Calibri"/>
                <w:lang w:eastAsia="en-GB"/>
              </w:rPr>
            </w:pPr>
            <w:r w:rsidRPr="003A592D">
              <w:rPr>
                <w:rFonts w:ascii="Calibri" w:eastAsia="Times New Roman" w:hAnsi="Calibri" w:cs="Calibri"/>
                <w:lang w:eastAsia="en-GB"/>
              </w:rPr>
              <w:t>4.05</w:t>
            </w:r>
          </w:p>
        </w:tc>
      </w:tr>
      <w:tr w:rsidR="003A592D" w:rsidRPr="003A592D" w14:paraId="25AC6A4F" w14:textId="77777777" w:rsidTr="003A592D">
        <w:trPr>
          <w:trHeight w:val="300"/>
        </w:trPr>
        <w:tc>
          <w:tcPr>
            <w:tcW w:w="909" w:type="dxa"/>
            <w:tcBorders>
              <w:top w:val="nil"/>
              <w:left w:val="nil"/>
              <w:bottom w:val="nil"/>
              <w:right w:val="nil"/>
            </w:tcBorders>
            <w:shd w:val="clear" w:color="auto" w:fill="auto"/>
            <w:noWrap/>
            <w:vAlign w:val="bottom"/>
            <w:hideMark/>
          </w:tcPr>
          <w:p w14:paraId="6F8DD9DE" w14:textId="77777777" w:rsidR="003A592D" w:rsidRPr="003A592D" w:rsidRDefault="003A592D" w:rsidP="000B184D">
            <w:pPr>
              <w:spacing w:after="0" w:line="240" w:lineRule="auto"/>
              <w:jc w:val="center"/>
              <w:rPr>
                <w:rFonts w:ascii="Calibri" w:eastAsia="Times New Roman" w:hAnsi="Calibri" w:cs="Calibri"/>
                <w:lang w:eastAsia="en-GB"/>
              </w:rPr>
            </w:pPr>
          </w:p>
        </w:tc>
        <w:tc>
          <w:tcPr>
            <w:tcW w:w="1616" w:type="dxa"/>
            <w:tcBorders>
              <w:top w:val="nil"/>
              <w:left w:val="nil"/>
              <w:bottom w:val="nil"/>
              <w:right w:val="nil"/>
            </w:tcBorders>
            <w:shd w:val="clear" w:color="auto" w:fill="auto"/>
            <w:noWrap/>
            <w:vAlign w:val="bottom"/>
            <w:hideMark/>
          </w:tcPr>
          <w:p w14:paraId="2FEC14FB" w14:textId="77777777" w:rsidR="003A592D" w:rsidRPr="003A592D" w:rsidRDefault="003A592D" w:rsidP="000B184D">
            <w:pPr>
              <w:spacing w:after="0" w:line="240" w:lineRule="auto"/>
              <w:jc w:val="center"/>
              <w:rPr>
                <w:rFonts w:ascii="Times New Roman" w:eastAsia="Times New Roman" w:hAnsi="Times New Roman" w:cs="Times New Roman"/>
                <w:sz w:val="20"/>
                <w:szCs w:val="20"/>
                <w:lang w:eastAsia="en-GB"/>
              </w:rPr>
            </w:pPr>
          </w:p>
        </w:tc>
        <w:tc>
          <w:tcPr>
            <w:tcW w:w="2578" w:type="dxa"/>
            <w:tcBorders>
              <w:top w:val="nil"/>
              <w:left w:val="single" w:sz="4" w:space="0" w:color="auto"/>
              <w:bottom w:val="single" w:sz="4" w:space="0" w:color="auto"/>
              <w:right w:val="single" w:sz="4" w:space="0" w:color="auto"/>
            </w:tcBorders>
            <w:shd w:val="clear" w:color="000000" w:fill="DBDBDB"/>
            <w:vAlign w:val="center"/>
            <w:hideMark/>
          </w:tcPr>
          <w:p w14:paraId="0EEDBA6D" w14:textId="77777777" w:rsidR="003A592D" w:rsidRPr="003A592D" w:rsidRDefault="003A592D" w:rsidP="000B184D">
            <w:pPr>
              <w:spacing w:after="0" w:line="240" w:lineRule="auto"/>
              <w:jc w:val="center"/>
              <w:rPr>
                <w:rFonts w:ascii="Calibri" w:eastAsia="Times New Roman" w:hAnsi="Calibri" w:cs="Calibri"/>
                <w:b/>
                <w:bCs/>
                <w:lang w:eastAsia="en-GB"/>
              </w:rPr>
            </w:pPr>
            <w:r w:rsidRPr="003A592D">
              <w:rPr>
                <w:rFonts w:ascii="Calibri" w:eastAsia="Times New Roman" w:hAnsi="Calibri" w:cs="Calibri"/>
                <w:b/>
                <w:bCs/>
                <w:lang w:eastAsia="en-GB"/>
              </w:rPr>
              <w:t>Total</w:t>
            </w:r>
          </w:p>
        </w:tc>
        <w:tc>
          <w:tcPr>
            <w:tcW w:w="1701" w:type="dxa"/>
            <w:tcBorders>
              <w:top w:val="nil"/>
              <w:left w:val="nil"/>
              <w:bottom w:val="single" w:sz="4" w:space="0" w:color="auto"/>
              <w:right w:val="single" w:sz="4" w:space="0" w:color="auto"/>
            </w:tcBorders>
            <w:shd w:val="clear" w:color="000000" w:fill="DBDBDB"/>
            <w:vAlign w:val="bottom"/>
            <w:hideMark/>
          </w:tcPr>
          <w:p w14:paraId="5115A7E3" w14:textId="77777777" w:rsidR="003A592D" w:rsidRPr="003A592D" w:rsidRDefault="003A592D" w:rsidP="000B184D">
            <w:pPr>
              <w:spacing w:after="0" w:line="240" w:lineRule="auto"/>
              <w:jc w:val="center"/>
              <w:rPr>
                <w:rFonts w:ascii="Calibri" w:eastAsia="Times New Roman" w:hAnsi="Calibri" w:cs="Calibri"/>
                <w:b/>
                <w:bCs/>
                <w:lang w:eastAsia="en-GB"/>
              </w:rPr>
            </w:pPr>
            <w:r w:rsidRPr="003A592D">
              <w:rPr>
                <w:rFonts w:ascii="Calibri" w:eastAsia="Times New Roman" w:hAnsi="Calibri" w:cs="Calibri"/>
                <w:b/>
                <w:bCs/>
                <w:lang w:eastAsia="en-GB"/>
              </w:rPr>
              <w:t>4.24</w:t>
            </w:r>
          </w:p>
        </w:tc>
        <w:tc>
          <w:tcPr>
            <w:tcW w:w="2835" w:type="dxa"/>
            <w:tcBorders>
              <w:top w:val="nil"/>
              <w:left w:val="nil"/>
              <w:bottom w:val="single" w:sz="4" w:space="0" w:color="auto"/>
              <w:right w:val="single" w:sz="4" w:space="0" w:color="auto"/>
            </w:tcBorders>
            <w:shd w:val="clear" w:color="000000" w:fill="DBDBDB"/>
            <w:vAlign w:val="bottom"/>
            <w:hideMark/>
          </w:tcPr>
          <w:p w14:paraId="46D68376" w14:textId="77777777" w:rsidR="003A592D" w:rsidRPr="003A592D" w:rsidRDefault="003A592D" w:rsidP="000B184D">
            <w:pPr>
              <w:spacing w:after="0" w:line="240" w:lineRule="auto"/>
              <w:jc w:val="center"/>
              <w:rPr>
                <w:rFonts w:ascii="Calibri" w:eastAsia="Times New Roman" w:hAnsi="Calibri" w:cs="Calibri"/>
                <w:b/>
                <w:bCs/>
                <w:lang w:eastAsia="en-GB"/>
              </w:rPr>
            </w:pPr>
            <w:r w:rsidRPr="003A592D">
              <w:rPr>
                <w:rFonts w:ascii="Calibri" w:eastAsia="Times New Roman" w:hAnsi="Calibri" w:cs="Calibri"/>
                <w:b/>
                <w:bCs/>
                <w:lang w:eastAsia="en-GB"/>
              </w:rPr>
              <w:t>6.62</w:t>
            </w:r>
          </w:p>
        </w:tc>
        <w:tc>
          <w:tcPr>
            <w:tcW w:w="2694" w:type="dxa"/>
            <w:tcBorders>
              <w:top w:val="nil"/>
              <w:left w:val="nil"/>
              <w:bottom w:val="single" w:sz="4" w:space="0" w:color="auto"/>
              <w:right w:val="single" w:sz="4" w:space="0" w:color="auto"/>
            </w:tcBorders>
            <w:shd w:val="clear" w:color="000000" w:fill="DBDBDB"/>
            <w:vAlign w:val="bottom"/>
            <w:hideMark/>
          </w:tcPr>
          <w:p w14:paraId="2E7E1119" w14:textId="77777777" w:rsidR="003A592D" w:rsidRPr="003A592D" w:rsidRDefault="003A592D" w:rsidP="000B184D">
            <w:pPr>
              <w:spacing w:after="0" w:line="240" w:lineRule="auto"/>
              <w:jc w:val="center"/>
              <w:rPr>
                <w:rFonts w:ascii="Calibri" w:eastAsia="Times New Roman" w:hAnsi="Calibri" w:cs="Calibri"/>
                <w:b/>
                <w:bCs/>
                <w:lang w:eastAsia="en-GB"/>
              </w:rPr>
            </w:pPr>
            <w:r w:rsidRPr="003A592D">
              <w:rPr>
                <w:rFonts w:ascii="Calibri" w:eastAsia="Times New Roman" w:hAnsi="Calibri" w:cs="Calibri"/>
                <w:b/>
                <w:bCs/>
                <w:lang w:eastAsia="en-GB"/>
              </w:rPr>
              <w:t>8.69</w:t>
            </w:r>
          </w:p>
        </w:tc>
        <w:tc>
          <w:tcPr>
            <w:tcW w:w="2693" w:type="dxa"/>
            <w:tcBorders>
              <w:top w:val="nil"/>
              <w:left w:val="nil"/>
              <w:bottom w:val="single" w:sz="4" w:space="0" w:color="auto"/>
              <w:right w:val="single" w:sz="4" w:space="0" w:color="auto"/>
            </w:tcBorders>
            <w:shd w:val="clear" w:color="000000" w:fill="DBDBDB"/>
            <w:vAlign w:val="bottom"/>
            <w:hideMark/>
          </w:tcPr>
          <w:p w14:paraId="3562ADA5" w14:textId="77777777" w:rsidR="003A592D" w:rsidRPr="003A592D" w:rsidRDefault="003A592D" w:rsidP="000B184D">
            <w:pPr>
              <w:spacing w:after="0" w:line="240" w:lineRule="auto"/>
              <w:jc w:val="center"/>
              <w:rPr>
                <w:rFonts w:ascii="Calibri" w:eastAsia="Times New Roman" w:hAnsi="Calibri" w:cs="Calibri"/>
                <w:b/>
                <w:bCs/>
                <w:lang w:eastAsia="en-GB"/>
              </w:rPr>
            </w:pPr>
            <w:r w:rsidRPr="003A592D">
              <w:rPr>
                <w:rFonts w:ascii="Calibri" w:eastAsia="Times New Roman" w:hAnsi="Calibri" w:cs="Calibri"/>
                <w:b/>
                <w:bCs/>
                <w:lang w:eastAsia="en-GB"/>
              </w:rPr>
              <w:t>12.58</w:t>
            </w:r>
          </w:p>
        </w:tc>
      </w:tr>
    </w:tbl>
    <w:p w14:paraId="11685A91" w14:textId="77777777" w:rsidR="003A592D" w:rsidRDefault="003A592D" w:rsidP="000B184D">
      <w:pPr>
        <w:jc w:val="center"/>
        <w:rPr>
          <w:rFonts w:ascii="Calibri" w:hAnsi="Calibri" w:cs="Calibri"/>
          <w:sz w:val="23"/>
          <w:szCs w:val="23"/>
        </w:rPr>
      </w:pPr>
    </w:p>
    <w:p w14:paraId="2860A69D" w14:textId="77777777" w:rsidR="009F6787" w:rsidRDefault="009F6787" w:rsidP="00C25453">
      <w:pPr>
        <w:autoSpaceDE w:val="0"/>
        <w:autoSpaceDN w:val="0"/>
        <w:adjustRightInd w:val="0"/>
        <w:spacing w:after="0" w:line="240" w:lineRule="auto"/>
        <w:jc w:val="both"/>
        <w:rPr>
          <w:rFonts w:ascii="Calibri" w:hAnsi="Calibri" w:cs="Calibri"/>
          <w:b/>
          <w:bCs/>
          <w:sz w:val="24"/>
          <w:szCs w:val="24"/>
        </w:rPr>
      </w:pPr>
    </w:p>
    <w:tbl>
      <w:tblPr>
        <w:tblW w:w="14034" w:type="dxa"/>
        <w:tblLook w:val="04A0" w:firstRow="1" w:lastRow="0" w:firstColumn="1" w:lastColumn="0" w:noHBand="0" w:noVBand="1"/>
      </w:tblPr>
      <w:tblGrid>
        <w:gridCol w:w="650"/>
        <w:gridCol w:w="1760"/>
        <w:gridCol w:w="1453"/>
        <w:gridCol w:w="2193"/>
        <w:gridCol w:w="2425"/>
        <w:gridCol w:w="2576"/>
        <w:gridCol w:w="2977"/>
      </w:tblGrid>
      <w:tr w:rsidR="005315DF" w:rsidRPr="00727AFD" w14:paraId="437A84AC" w14:textId="77777777" w:rsidTr="009E72AA">
        <w:trPr>
          <w:trHeight w:val="274"/>
        </w:trPr>
        <w:tc>
          <w:tcPr>
            <w:tcW w:w="2410" w:type="dxa"/>
            <w:gridSpan w:val="2"/>
            <w:tcBorders>
              <w:top w:val="nil"/>
              <w:left w:val="nil"/>
              <w:bottom w:val="nil"/>
              <w:right w:val="nil"/>
            </w:tcBorders>
            <w:shd w:val="clear" w:color="auto" w:fill="auto"/>
            <w:noWrap/>
            <w:vAlign w:val="bottom"/>
            <w:hideMark/>
          </w:tcPr>
          <w:p w14:paraId="57CDC554" w14:textId="77777777" w:rsidR="00727AFD" w:rsidRPr="00727AFD" w:rsidRDefault="00727AFD" w:rsidP="00727AFD">
            <w:pPr>
              <w:spacing w:after="0" w:line="240" w:lineRule="auto"/>
              <w:rPr>
                <w:rFonts w:ascii="Calibri" w:eastAsia="Times New Roman" w:hAnsi="Calibri" w:cs="Calibri"/>
                <w:b/>
                <w:bCs/>
                <w:lang w:eastAsia="en-GB"/>
              </w:rPr>
            </w:pPr>
            <w:r w:rsidRPr="00727AFD">
              <w:rPr>
                <w:rFonts w:ascii="Calibri" w:eastAsia="Times New Roman" w:hAnsi="Calibri" w:cs="Calibri"/>
                <w:b/>
                <w:bCs/>
                <w:lang w:eastAsia="en-GB"/>
              </w:rPr>
              <w:t>TOTAL NEW SAVINGS</w:t>
            </w:r>
          </w:p>
        </w:tc>
        <w:tc>
          <w:tcPr>
            <w:tcW w:w="1453" w:type="dxa"/>
            <w:tcBorders>
              <w:top w:val="nil"/>
              <w:left w:val="nil"/>
              <w:bottom w:val="nil"/>
              <w:right w:val="nil"/>
            </w:tcBorders>
            <w:shd w:val="clear" w:color="auto" w:fill="auto"/>
            <w:noWrap/>
            <w:vAlign w:val="bottom"/>
            <w:hideMark/>
          </w:tcPr>
          <w:p w14:paraId="0C17FA9D" w14:textId="77777777" w:rsidR="00727AFD" w:rsidRPr="00727AFD" w:rsidRDefault="00727AFD" w:rsidP="00727AFD">
            <w:pPr>
              <w:spacing w:after="0" w:line="240" w:lineRule="auto"/>
              <w:rPr>
                <w:rFonts w:ascii="Calibri" w:eastAsia="Times New Roman" w:hAnsi="Calibri" w:cs="Calibri"/>
                <w:b/>
                <w:bCs/>
                <w:lang w:eastAsia="en-GB"/>
              </w:rPr>
            </w:pPr>
          </w:p>
        </w:tc>
        <w:tc>
          <w:tcPr>
            <w:tcW w:w="2193" w:type="dxa"/>
            <w:tcBorders>
              <w:top w:val="nil"/>
              <w:left w:val="nil"/>
              <w:bottom w:val="nil"/>
              <w:right w:val="nil"/>
            </w:tcBorders>
            <w:shd w:val="clear" w:color="auto" w:fill="auto"/>
            <w:noWrap/>
            <w:vAlign w:val="bottom"/>
            <w:hideMark/>
          </w:tcPr>
          <w:p w14:paraId="0EF61D60" w14:textId="77777777" w:rsidR="00727AFD" w:rsidRPr="00727AFD" w:rsidRDefault="00727AFD" w:rsidP="00727AFD">
            <w:pPr>
              <w:spacing w:after="0" w:line="240" w:lineRule="auto"/>
              <w:rPr>
                <w:rFonts w:ascii="Times New Roman" w:eastAsia="Times New Roman" w:hAnsi="Times New Roman" w:cs="Times New Roman"/>
                <w:sz w:val="20"/>
                <w:szCs w:val="20"/>
                <w:lang w:eastAsia="en-GB"/>
              </w:rPr>
            </w:pPr>
          </w:p>
        </w:tc>
        <w:tc>
          <w:tcPr>
            <w:tcW w:w="2425" w:type="dxa"/>
            <w:tcBorders>
              <w:top w:val="nil"/>
              <w:left w:val="nil"/>
              <w:bottom w:val="nil"/>
              <w:right w:val="nil"/>
            </w:tcBorders>
            <w:shd w:val="clear" w:color="auto" w:fill="auto"/>
            <w:noWrap/>
            <w:vAlign w:val="bottom"/>
            <w:hideMark/>
          </w:tcPr>
          <w:p w14:paraId="12D1922B" w14:textId="77777777" w:rsidR="00727AFD" w:rsidRPr="00727AFD" w:rsidRDefault="00727AFD" w:rsidP="00727AFD">
            <w:pPr>
              <w:spacing w:after="0" w:line="240" w:lineRule="auto"/>
              <w:rPr>
                <w:rFonts w:ascii="Times New Roman" w:eastAsia="Times New Roman" w:hAnsi="Times New Roman" w:cs="Times New Roman"/>
                <w:sz w:val="20"/>
                <w:szCs w:val="20"/>
                <w:lang w:eastAsia="en-GB"/>
              </w:rPr>
            </w:pPr>
          </w:p>
        </w:tc>
        <w:tc>
          <w:tcPr>
            <w:tcW w:w="2576" w:type="dxa"/>
            <w:tcBorders>
              <w:top w:val="nil"/>
              <w:left w:val="nil"/>
              <w:bottom w:val="nil"/>
              <w:right w:val="nil"/>
            </w:tcBorders>
            <w:shd w:val="clear" w:color="auto" w:fill="auto"/>
            <w:noWrap/>
            <w:vAlign w:val="bottom"/>
            <w:hideMark/>
          </w:tcPr>
          <w:p w14:paraId="0CE12822" w14:textId="77777777" w:rsidR="00727AFD" w:rsidRPr="00727AFD" w:rsidRDefault="00727AFD" w:rsidP="00727AFD">
            <w:pPr>
              <w:spacing w:after="0" w:line="240" w:lineRule="auto"/>
              <w:rPr>
                <w:rFonts w:ascii="Times New Roman" w:eastAsia="Times New Roman" w:hAnsi="Times New Roman" w:cs="Times New Roman"/>
                <w:sz w:val="20"/>
                <w:szCs w:val="20"/>
                <w:lang w:eastAsia="en-GB"/>
              </w:rPr>
            </w:pPr>
          </w:p>
        </w:tc>
        <w:tc>
          <w:tcPr>
            <w:tcW w:w="2977" w:type="dxa"/>
            <w:tcBorders>
              <w:top w:val="nil"/>
              <w:left w:val="nil"/>
              <w:bottom w:val="nil"/>
              <w:right w:val="nil"/>
            </w:tcBorders>
            <w:shd w:val="clear" w:color="auto" w:fill="auto"/>
            <w:noWrap/>
            <w:vAlign w:val="bottom"/>
            <w:hideMark/>
          </w:tcPr>
          <w:p w14:paraId="34CD4FC8" w14:textId="77777777" w:rsidR="00727AFD" w:rsidRPr="00727AFD" w:rsidRDefault="00727AFD" w:rsidP="00727AFD">
            <w:pPr>
              <w:spacing w:after="0" w:line="240" w:lineRule="auto"/>
              <w:rPr>
                <w:rFonts w:ascii="Times New Roman" w:eastAsia="Times New Roman" w:hAnsi="Times New Roman" w:cs="Times New Roman"/>
                <w:sz w:val="20"/>
                <w:szCs w:val="20"/>
                <w:lang w:eastAsia="en-GB"/>
              </w:rPr>
            </w:pPr>
          </w:p>
        </w:tc>
      </w:tr>
      <w:tr w:rsidR="005315DF" w:rsidRPr="00727AFD" w14:paraId="0F02E3AC" w14:textId="77777777" w:rsidTr="005315DF">
        <w:trPr>
          <w:trHeight w:val="1098"/>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408C3B" w14:textId="77777777" w:rsidR="00727AFD" w:rsidRPr="00727AFD" w:rsidRDefault="00727AFD" w:rsidP="00727AFD">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 xml:space="preserve">Energy savings achieved                                    </w:t>
            </w:r>
            <w:proofErr w:type="gramStart"/>
            <w:r w:rsidRPr="00727AFD">
              <w:rPr>
                <w:rFonts w:ascii="Calibri" w:eastAsia="Times New Roman" w:hAnsi="Calibri" w:cs="Calibri"/>
                <w:lang w:eastAsia="en-GB"/>
              </w:rPr>
              <w:t xml:space="preserve">   (</w:t>
            </w:r>
            <w:proofErr w:type="gramEnd"/>
            <w:r w:rsidRPr="00727AFD">
              <w:rPr>
                <w:rFonts w:ascii="Calibri" w:eastAsia="Times New Roman" w:hAnsi="Calibri" w:cs="Calibri"/>
                <w:lang w:eastAsia="en-GB"/>
              </w:rPr>
              <w:t>savings achieved from measures and notified under Article 7(2)c) and (d) shall not be part of this table)</w:t>
            </w:r>
          </w:p>
        </w:tc>
        <w:tc>
          <w:tcPr>
            <w:tcW w:w="1453" w:type="dxa"/>
            <w:tcBorders>
              <w:top w:val="single" w:sz="4" w:space="0" w:color="auto"/>
              <w:left w:val="nil"/>
              <w:bottom w:val="nil"/>
              <w:right w:val="single" w:sz="4" w:space="0" w:color="auto"/>
            </w:tcBorders>
            <w:shd w:val="clear" w:color="auto" w:fill="auto"/>
            <w:vAlign w:val="center"/>
            <w:hideMark/>
          </w:tcPr>
          <w:p w14:paraId="1D5093CB" w14:textId="2A149BA7" w:rsidR="00727AFD" w:rsidRPr="00727AFD" w:rsidRDefault="00727AFD" w:rsidP="006B4AEC">
            <w:pPr>
              <w:spacing w:after="0" w:line="240" w:lineRule="auto"/>
              <w:rPr>
                <w:rFonts w:ascii="Calibri" w:eastAsia="Times New Roman" w:hAnsi="Calibri" w:cs="Calibri"/>
                <w:lang w:eastAsia="en-GB"/>
              </w:rPr>
            </w:pPr>
            <w:r w:rsidRPr="00727AFD">
              <w:rPr>
                <w:rFonts w:ascii="Calibri" w:eastAsia="Times New Roman" w:hAnsi="Calibri" w:cs="Calibri"/>
                <w:lang w:eastAsia="en-GB"/>
              </w:rPr>
              <w:t xml:space="preserve">Policy measure </w:t>
            </w:r>
            <w:r w:rsidRPr="00727AFD">
              <w:rPr>
                <w:rFonts w:ascii="Calibri" w:eastAsia="Times New Roman" w:hAnsi="Calibri" w:cs="Calibri"/>
                <w:lang w:eastAsia="en-GB"/>
              </w:rPr>
              <w:br/>
            </w:r>
          </w:p>
        </w:tc>
        <w:tc>
          <w:tcPr>
            <w:tcW w:w="2193" w:type="dxa"/>
            <w:tcBorders>
              <w:top w:val="single" w:sz="4" w:space="0" w:color="auto"/>
              <w:left w:val="nil"/>
              <w:bottom w:val="single" w:sz="4" w:space="0" w:color="auto"/>
              <w:right w:val="single" w:sz="4" w:space="0" w:color="auto"/>
            </w:tcBorders>
            <w:shd w:val="clear" w:color="auto" w:fill="auto"/>
            <w:vAlign w:val="center"/>
            <w:hideMark/>
          </w:tcPr>
          <w:p w14:paraId="37429CDA" w14:textId="77777777" w:rsidR="00727AFD" w:rsidRPr="00727AFD" w:rsidRDefault="00727AFD" w:rsidP="00727AFD">
            <w:pPr>
              <w:spacing w:after="0" w:line="240" w:lineRule="auto"/>
              <w:jc w:val="center"/>
              <w:rPr>
                <w:rFonts w:ascii="Calibri" w:eastAsia="Times New Roman" w:hAnsi="Calibri" w:cs="Calibri"/>
                <w:lang w:eastAsia="en-GB"/>
              </w:rPr>
            </w:pPr>
            <w:r w:rsidRPr="00727AFD">
              <w:rPr>
                <w:rFonts w:ascii="Calibri" w:eastAsia="Times New Roman" w:hAnsi="Calibri" w:cs="Calibri"/>
                <w:b/>
                <w:bCs/>
                <w:lang w:eastAsia="en-GB"/>
              </w:rPr>
              <w:t>S</w:t>
            </w:r>
            <w:r w:rsidRPr="00727AFD">
              <w:rPr>
                <w:rFonts w:ascii="Calibri" w:eastAsia="Times New Roman" w:hAnsi="Calibri" w:cs="Calibri"/>
                <w:lang w:eastAsia="en-GB"/>
              </w:rPr>
              <w:t>avings achieved [</w:t>
            </w:r>
            <w:proofErr w:type="spellStart"/>
            <w:r w:rsidRPr="00727AFD">
              <w:rPr>
                <w:rFonts w:ascii="Calibri" w:eastAsia="Times New Roman" w:hAnsi="Calibri" w:cs="Calibri"/>
                <w:lang w:eastAsia="en-GB"/>
              </w:rPr>
              <w:t>ktoe</w:t>
            </w:r>
            <w:proofErr w:type="spellEnd"/>
            <w:r w:rsidRPr="00727AFD">
              <w:rPr>
                <w:rFonts w:ascii="Calibri" w:eastAsia="Times New Roman" w:hAnsi="Calibri" w:cs="Calibri"/>
                <w:lang w:eastAsia="en-GB"/>
              </w:rPr>
              <w:t xml:space="preserve">] </w:t>
            </w:r>
            <w:r w:rsidRPr="00727AFD">
              <w:rPr>
                <w:rFonts w:ascii="Calibri" w:eastAsia="Times New Roman" w:hAnsi="Calibri" w:cs="Calibri"/>
                <w:b/>
                <w:lang w:eastAsia="en-GB"/>
              </w:rPr>
              <w:t>in 2014</w:t>
            </w:r>
            <w:r w:rsidRPr="00727AFD">
              <w:rPr>
                <w:rFonts w:ascii="Calibri" w:eastAsia="Times New Roman" w:hAnsi="Calibri" w:cs="Calibri"/>
                <w:lang w:eastAsia="en-GB"/>
              </w:rPr>
              <w:t xml:space="preserve"> only from </w:t>
            </w:r>
            <w:r w:rsidRPr="00727AFD">
              <w:rPr>
                <w:rFonts w:ascii="Calibri" w:eastAsia="Times New Roman" w:hAnsi="Calibri" w:cs="Calibri"/>
                <w:u w:val="single"/>
                <w:lang w:eastAsia="en-GB"/>
              </w:rPr>
              <w:t>new</w:t>
            </w:r>
            <w:r w:rsidRPr="00727AFD">
              <w:rPr>
                <w:rFonts w:ascii="Calibri" w:eastAsia="Times New Roman" w:hAnsi="Calibri" w:cs="Calibri"/>
                <w:lang w:eastAsia="en-GB"/>
              </w:rPr>
              <w:t xml:space="preserve"> actions that were implemented in 2014</w:t>
            </w:r>
          </w:p>
        </w:tc>
        <w:tc>
          <w:tcPr>
            <w:tcW w:w="2425" w:type="dxa"/>
            <w:tcBorders>
              <w:top w:val="single" w:sz="4" w:space="0" w:color="auto"/>
              <w:left w:val="nil"/>
              <w:bottom w:val="single" w:sz="4" w:space="0" w:color="auto"/>
              <w:right w:val="single" w:sz="4" w:space="0" w:color="auto"/>
            </w:tcBorders>
            <w:shd w:val="clear" w:color="auto" w:fill="auto"/>
            <w:vAlign w:val="center"/>
            <w:hideMark/>
          </w:tcPr>
          <w:p w14:paraId="11882353" w14:textId="77777777"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b/>
                <w:bCs/>
                <w:lang w:eastAsia="en-GB"/>
              </w:rPr>
              <w:t>S</w:t>
            </w:r>
            <w:r w:rsidRPr="00727AFD">
              <w:rPr>
                <w:rFonts w:ascii="Calibri" w:eastAsia="Times New Roman" w:hAnsi="Calibri" w:cs="Calibri"/>
                <w:lang w:eastAsia="en-GB"/>
              </w:rPr>
              <w:t>avings achieved [</w:t>
            </w:r>
            <w:proofErr w:type="spellStart"/>
            <w:r w:rsidRPr="00727AFD">
              <w:rPr>
                <w:rFonts w:ascii="Calibri" w:eastAsia="Times New Roman" w:hAnsi="Calibri" w:cs="Calibri"/>
                <w:lang w:eastAsia="en-GB"/>
              </w:rPr>
              <w:t>ktoe</w:t>
            </w:r>
            <w:proofErr w:type="spellEnd"/>
            <w:r w:rsidRPr="00727AFD">
              <w:rPr>
                <w:rFonts w:ascii="Calibri" w:eastAsia="Times New Roman" w:hAnsi="Calibri" w:cs="Calibri"/>
                <w:lang w:eastAsia="en-GB"/>
              </w:rPr>
              <w:t xml:space="preserve">] </w:t>
            </w:r>
            <w:r w:rsidRPr="00727AFD">
              <w:rPr>
                <w:rFonts w:ascii="Calibri" w:eastAsia="Times New Roman" w:hAnsi="Calibri" w:cs="Calibri"/>
                <w:b/>
                <w:lang w:eastAsia="en-GB"/>
              </w:rPr>
              <w:t>in 2015</w:t>
            </w:r>
            <w:r w:rsidRPr="00727AFD">
              <w:rPr>
                <w:rFonts w:ascii="Calibri" w:eastAsia="Times New Roman" w:hAnsi="Calibri" w:cs="Calibri"/>
                <w:lang w:eastAsia="en-GB"/>
              </w:rPr>
              <w:t xml:space="preserve"> only from </w:t>
            </w:r>
            <w:r w:rsidRPr="00727AFD">
              <w:rPr>
                <w:rFonts w:ascii="Calibri" w:eastAsia="Times New Roman" w:hAnsi="Calibri" w:cs="Calibri"/>
                <w:u w:val="single"/>
                <w:lang w:eastAsia="en-GB"/>
              </w:rPr>
              <w:t>new</w:t>
            </w:r>
            <w:r w:rsidRPr="00727AFD">
              <w:rPr>
                <w:rFonts w:ascii="Calibri" w:eastAsia="Times New Roman" w:hAnsi="Calibri" w:cs="Calibri"/>
                <w:lang w:eastAsia="en-GB"/>
              </w:rPr>
              <w:t xml:space="preserve"> actions that were implemented in 2015</w:t>
            </w:r>
          </w:p>
        </w:tc>
        <w:tc>
          <w:tcPr>
            <w:tcW w:w="2576" w:type="dxa"/>
            <w:tcBorders>
              <w:top w:val="single" w:sz="4" w:space="0" w:color="auto"/>
              <w:left w:val="nil"/>
              <w:bottom w:val="single" w:sz="4" w:space="0" w:color="auto"/>
              <w:right w:val="single" w:sz="4" w:space="0" w:color="auto"/>
            </w:tcBorders>
            <w:shd w:val="clear" w:color="auto" w:fill="auto"/>
            <w:vAlign w:val="center"/>
            <w:hideMark/>
          </w:tcPr>
          <w:p w14:paraId="2EBFEF9C" w14:textId="77777777" w:rsidR="00727AFD" w:rsidRPr="00727AFD" w:rsidRDefault="00727AFD" w:rsidP="00727AFD">
            <w:pPr>
              <w:spacing w:after="0" w:line="240" w:lineRule="auto"/>
              <w:jc w:val="center"/>
              <w:rPr>
                <w:rFonts w:ascii="Calibri" w:eastAsia="Times New Roman" w:hAnsi="Calibri" w:cs="Calibri"/>
                <w:lang w:eastAsia="en-GB"/>
              </w:rPr>
            </w:pPr>
            <w:r w:rsidRPr="00727AFD">
              <w:rPr>
                <w:rFonts w:ascii="Calibri" w:eastAsia="Times New Roman" w:hAnsi="Calibri" w:cs="Calibri"/>
                <w:b/>
                <w:bCs/>
                <w:lang w:eastAsia="en-GB"/>
              </w:rPr>
              <w:t>S</w:t>
            </w:r>
            <w:r w:rsidRPr="00727AFD">
              <w:rPr>
                <w:rFonts w:ascii="Calibri" w:eastAsia="Times New Roman" w:hAnsi="Calibri" w:cs="Calibri"/>
                <w:lang w:eastAsia="en-GB"/>
              </w:rPr>
              <w:t>avings achieved [</w:t>
            </w:r>
            <w:proofErr w:type="spellStart"/>
            <w:r w:rsidRPr="00727AFD">
              <w:rPr>
                <w:rFonts w:ascii="Calibri" w:eastAsia="Times New Roman" w:hAnsi="Calibri" w:cs="Calibri"/>
                <w:lang w:eastAsia="en-GB"/>
              </w:rPr>
              <w:t>ktoe</w:t>
            </w:r>
            <w:proofErr w:type="spellEnd"/>
            <w:r w:rsidRPr="00727AFD">
              <w:rPr>
                <w:rFonts w:ascii="Calibri" w:eastAsia="Times New Roman" w:hAnsi="Calibri" w:cs="Calibri"/>
                <w:lang w:eastAsia="en-GB"/>
              </w:rPr>
              <w:t xml:space="preserve">] </w:t>
            </w:r>
            <w:r w:rsidRPr="00727AFD">
              <w:rPr>
                <w:rFonts w:ascii="Calibri" w:eastAsia="Times New Roman" w:hAnsi="Calibri" w:cs="Calibri"/>
                <w:b/>
                <w:lang w:eastAsia="en-GB"/>
              </w:rPr>
              <w:t>in 2016</w:t>
            </w:r>
            <w:r w:rsidRPr="00727AFD">
              <w:rPr>
                <w:rFonts w:ascii="Calibri" w:eastAsia="Times New Roman" w:hAnsi="Calibri" w:cs="Calibri"/>
                <w:lang w:eastAsia="en-GB"/>
              </w:rPr>
              <w:t xml:space="preserve"> only from </w:t>
            </w:r>
            <w:r w:rsidRPr="00727AFD">
              <w:rPr>
                <w:rFonts w:ascii="Calibri" w:eastAsia="Times New Roman" w:hAnsi="Calibri" w:cs="Calibri"/>
                <w:u w:val="single"/>
                <w:lang w:eastAsia="en-GB"/>
              </w:rPr>
              <w:t>new</w:t>
            </w:r>
            <w:r w:rsidRPr="00727AFD">
              <w:rPr>
                <w:rFonts w:ascii="Calibri" w:eastAsia="Times New Roman" w:hAnsi="Calibri" w:cs="Calibri"/>
                <w:lang w:eastAsia="en-GB"/>
              </w:rPr>
              <w:t xml:space="preserve"> actions that were implemented in 2016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1457FFF4" w14:textId="77777777" w:rsidR="00727AFD" w:rsidRPr="00727AFD" w:rsidRDefault="00727AFD" w:rsidP="00727AFD">
            <w:pPr>
              <w:spacing w:after="0" w:line="240" w:lineRule="auto"/>
              <w:jc w:val="center"/>
              <w:rPr>
                <w:rFonts w:ascii="Calibri" w:eastAsia="Times New Roman" w:hAnsi="Calibri" w:cs="Calibri"/>
                <w:lang w:eastAsia="en-GB"/>
              </w:rPr>
            </w:pPr>
            <w:r w:rsidRPr="00727AFD">
              <w:rPr>
                <w:rFonts w:ascii="Calibri" w:eastAsia="Times New Roman" w:hAnsi="Calibri" w:cs="Calibri"/>
                <w:b/>
                <w:bCs/>
                <w:lang w:eastAsia="en-GB"/>
              </w:rPr>
              <w:t>S</w:t>
            </w:r>
            <w:r w:rsidRPr="00727AFD">
              <w:rPr>
                <w:rFonts w:ascii="Calibri" w:eastAsia="Times New Roman" w:hAnsi="Calibri" w:cs="Calibri"/>
                <w:lang w:eastAsia="en-GB"/>
              </w:rPr>
              <w:t>avings achieved [</w:t>
            </w:r>
            <w:proofErr w:type="spellStart"/>
            <w:r w:rsidRPr="00727AFD">
              <w:rPr>
                <w:rFonts w:ascii="Calibri" w:eastAsia="Times New Roman" w:hAnsi="Calibri" w:cs="Calibri"/>
                <w:lang w:eastAsia="en-GB"/>
              </w:rPr>
              <w:t>ktoe</w:t>
            </w:r>
            <w:proofErr w:type="spellEnd"/>
            <w:r w:rsidRPr="00727AFD">
              <w:rPr>
                <w:rFonts w:ascii="Calibri" w:eastAsia="Times New Roman" w:hAnsi="Calibri" w:cs="Calibri"/>
                <w:b/>
                <w:lang w:eastAsia="en-GB"/>
              </w:rPr>
              <w:t>] in 2017</w:t>
            </w:r>
            <w:r w:rsidRPr="00727AFD">
              <w:rPr>
                <w:rFonts w:ascii="Calibri" w:eastAsia="Times New Roman" w:hAnsi="Calibri" w:cs="Calibri"/>
                <w:lang w:eastAsia="en-GB"/>
              </w:rPr>
              <w:t xml:space="preserve"> only from </w:t>
            </w:r>
            <w:r w:rsidRPr="00727AFD">
              <w:rPr>
                <w:rFonts w:ascii="Calibri" w:eastAsia="Times New Roman" w:hAnsi="Calibri" w:cs="Calibri"/>
                <w:u w:val="single"/>
                <w:lang w:eastAsia="en-GB"/>
              </w:rPr>
              <w:t>new</w:t>
            </w:r>
            <w:r w:rsidRPr="00727AFD">
              <w:rPr>
                <w:rFonts w:ascii="Calibri" w:eastAsia="Times New Roman" w:hAnsi="Calibri" w:cs="Calibri"/>
                <w:lang w:eastAsia="en-GB"/>
              </w:rPr>
              <w:t xml:space="preserve"> actions that were implemented in 2017</w:t>
            </w:r>
          </w:p>
        </w:tc>
      </w:tr>
      <w:tr w:rsidR="005315DF" w:rsidRPr="00727AFD" w14:paraId="3BA33DDE" w14:textId="77777777" w:rsidTr="005315DF">
        <w:trPr>
          <w:trHeight w:val="274"/>
        </w:trPr>
        <w:tc>
          <w:tcPr>
            <w:tcW w:w="650" w:type="dxa"/>
            <w:tcBorders>
              <w:top w:val="nil"/>
              <w:left w:val="single" w:sz="4" w:space="0" w:color="auto"/>
              <w:bottom w:val="single" w:sz="4" w:space="0" w:color="auto"/>
              <w:right w:val="single" w:sz="4" w:space="0" w:color="auto"/>
            </w:tcBorders>
            <w:shd w:val="clear" w:color="auto" w:fill="auto"/>
            <w:vAlign w:val="center"/>
            <w:hideMark/>
          </w:tcPr>
          <w:p w14:paraId="7CE50184" w14:textId="77777777" w:rsidR="00727AFD" w:rsidRPr="00727AFD" w:rsidRDefault="00727AFD" w:rsidP="00727AFD">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44-1</w:t>
            </w:r>
          </w:p>
        </w:tc>
        <w:tc>
          <w:tcPr>
            <w:tcW w:w="1760" w:type="dxa"/>
            <w:tcBorders>
              <w:top w:val="nil"/>
              <w:left w:val="nil"/>
              <w:bottom w:val="single" w:sz="4" w:space="0" w:color="auto"/>
              <w:right w:val="single" w:sz="4" w:space="0" w:color="auto"/>
            </w:tcBorders>
            <w:shd w:val="clear" w:color="auto" w:fill="auto"/>
            <w:vAlign w:val="center"/>
            <w:hideMark/>
          </w:tcPr>
          <w:p w14:paraId="78782274" w14:textId="77777777" w:rsidR="00727AFD" w:rsidRPr="00727AFD" w:rsidRDefault="00727AFD" w:rsidP="00727AFD">
            <w:pPr>
              <w:spacing w:after="0" w:line="240" w:lineRule="auto"/>
              <w:rPr>
                <w:rFonts w:ascii="Calibri" w:eastAsia="Times New Roman" w:hAnsi="Calibri" w:cs="Calibri"/>
                <w:lang w:eastAsia="en-GB"/>
              </w:rPr>
            </w:pPr>
            <w:r w:rsidRPr="00727AFD">
              <w:rPr>
                <w:rFonts w:ascii="Calibri" w:eastAsia="Times New Roman" w:hAnsi="Calibri" w:cs="Calibri"/>
                <w:lang w:eastAsia="en-GB"/>
              </w:rPr>
              <w:t>EEOS</w:t>
            </w:r>
          </w:p>
        </w:tc>
        <w:tc>
          <w:tcPr>
            <w:tcW w:w="1453" w:type="dxa"/>
            <w:tcBorders>
              <w:top w:val="single" w:sz="4" w:space="0" w:color="auto"/>
              <w:left w:val="nil"/>
              <w:bottom w:val="single" w:sz="4" w:space="0" w:color="auto"/>
              <w:right w:val="single" w:sz="4" w:space="0" w:color="auto"/>
            </w:tcBorders>
            <w:shd w:val="clear" w:color="000000" w:fill="DBDBDB"/>
            <w:vAlign w:val="center"/>
            <w:hideMark/>
          </w:tcPr>
          <w:p w14:paraId="33CEC5EF" w14:textId="77777777" w:rsidR="00727AFD" w:rsidRPr="00727AFD" w:rsidRDefault="00727AFD" w:rsidP="005315DF">
            <w:pPr>
              <w:spacing w:after="0" w:line="240" w:lineRule="auto"/>
              <w:rPr>
                <w:rFonts w:ascii="Calibri" w:eastAsia="Times New Roman" w:hAnsi="Calibri" w:cs="Calibri"/>
                <w:lang w:eastAsia="en-GB"/>
              </w:rPr>
            </w:pPr>
            <w:r w:rsidRPr="00727AFD">
              <w:rPr>
                <w:rFonts w:ascii="Calibri" w:eastAsia="Times New Roman" w:hAnsi="Calibri" w:cs="Calibri"/>
                <w:lang w:eastAsia="en-GB"/>
              </w:rPr>
              <w:t xml:space="preserve">Energy Efficiency </w:t>
            </w:r>
            <w:r w:rsidRPr="00727AFD">
              <w:rPr>
                <w:rFonts w:ascii="Calibri" w:eastAsia="Times New Roman" w:hAnsi="Calibri" w:cs="Calibri"/>
                <w:lang w:eastAsia="en-GB"/>
              </w:rPr>
              <w:lastRenderedPageBreak/>
              <w:t>Obligation Scheme</w:t>
            </w:r>
          </w:p>
        </w:tc>
        <w:tc>
          <w:tcPr>
            <w:tcW w:w="2193" w:type="dxa"/>
            <w:tcBorders>
              <w:top w:val="nil"/>
              <w:left w:val="nil"/>
              <w:bottom w:val="single" w:sz="4" w:space="0" w:color="auto"/>
              <w:right w:val="single" w:sz="4" w:space="0" w:color="auto"/>
            </w:tcBorders>
            <w:shd w:val="clear" w:color="000000" w:fill="DBDBDB"/>
            <w:vAlign w:val="center"/>
            <w:hideMark/>
          </w:tcPr>
          <w:p w14:paraId="1E8C3D2A" w14:textId="7044E8C9"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lastRenderedPageBreak/>
              <w:t>0.73</w:t>
            </w:r>
          </w:p>
        </w:tc>
        <w:tc>
          <w:tcPr>
            <w:tcW w:w="2425" w:type="dxa"/>
            <w:tcBorders>
              <w:top w:val="nil"/>
              <w:left w:val="nil"/>
              <w:bottom w:val="single" w:sz="4" w:space="0" w:color="auto"/>
              <w:right w:val="single" w:sz="4" w:space="0" w:color="auto"/>
            </w:tcBorders>
            <w:shd w:val="clear" w:color="000000" w:fill="DBDBDB"/>
            <w:vAlign w:val="center"/>
            <w:hideMark/>
          </w:tcPr>
          <w:p w14:paraId="051337D9" w14:textId="39AF782A"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0.84</w:t>
            </w:r>
          </w:p>
        </w:tc>
        <w:tc>
          <w:tcPr>
            <w:tcW w:w="2576" w:type="dxa"/>
            <w:tcBorders>
              <w:top w:val="nil"/>
              <w:left w:val="nil"/>
              <w:bottom w:val="single" w:sz="4" w:space="0" w:color="auto"/>
              <w:right w:val="single" w:sz="4" w:space="0" w:color="auto"/>
            </w:tcBorders>
            <w:shd w:val="clear" w:color="000000" w:fill="DBDBDB"/>
            <w:vAlign w:val="center"/>
            <w:hideMark/>
          </w:tcPr>
          <w:p w14:paraId="4D522D2A" w14:textId="5218E3FB"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0.35</w:t>
            </w:r>
          </w:p>
        </w:tc>
        <w:tc>
          <w:tcPr>
            <w:tcW w:w="2977" w:type="dxa"/>
            <w:tcBorders>
              <w:top w:val="nil"/>
              <w:left w:val="nil"/>
              <w:bottom w:val="single" w:sz="4" w:space="0" w:color="auto"/>
              <w:right w:val="single" w:sz="4" w:space="0" w:color="auto"/>
            </w:tcBorders>
            <w:shd w:val="clear" w:color="000000" w:fill="DBDBDB"/>
            <w:vAlign w:val="center"/>
            <w:hideMark/>
          </w:tcPr>
          <w:p w14:paraId="649B79F9" w14:textId="2F86C750"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0.39</w:t>
            </w:r>
          </w:p>
        </w:tc>
      </w:tr>
      <w:tr w:rsidR="005315DF" w:rsidRPr="00727AFD" w14:paraId="74F663CF" w14:textId="77777777" w:rsidTr="005315DF">
        <w:trPr>
          <w:trHeight w:val="549"/>
        </w:trPr>
        <w:tc>
          <w:tcPr>
            <w:tcW w:w="650" w:type="dxa"/>
            <w:tcBorders>
              <w:top w:val="nil"/>
              <w:left w:val="single" w:sz="4" w:space="0" w:color="auto"/>
              <w:bottom w:val="single" w:sz="4" w:space="0" w:color="auto"/>
              <w:right w:val="single" w:sz="4" w:space="0" w:color="auto"/>
            </w:tcBorders>
            <w:shd w:val="clear" w:color="auto" w:fill="auto"/>
            <w:vAlign w:val="center"/>
            <w:hideMark/>
          </w:tcPr>
          <w:p w14:paraId="00894385" w14:textId="77777777" w:rsidR="00727AFD" w:rsidRPr="00727AFD" w:rsidRDefault="00727AFD" w:rsidP="00727AFD">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44-2</w:t>
            </w:r>
          </w:p>
        </w:tc>
        <w:tc>
          <w:tcPr>
            <w:tcW w:w="1760" w:type="dxa"/>
            <w:tcBorders>
              <w:top w:val="nil"/>
              <w:left w:val="nil"/>
              <w:bottom w:val="single" w:sz="4" w:space="0" w:color="auto"/>
              <w:right w:val="single" w:sz="4" w:space="0" w:color="auto"/>
            </w:tcBorders>
            <w:shd w:val="clear" w:color="auto" w:fill="auto"/>
            <w:vAlign w:val="center"/>
            <w:hideMark/>
          </w:tcPr>
          <w:p w14:paraId="2CEFFEF0" w14:textId="77777777" w:rsidR="00727AFD" w:rsidRPr="00727AFD" w:rsidRDefault="00727AFD" w:rsidP="00727AFD">
            <w:pPr>
              <w:spacing w:after="0" w:line="240" w:lineRule="auto"/>
              <w:rPr>
                <w:rFonts w:ascii="Calibri" w:eastAsia="Times New Roman" w:hAnsi="Calibri" w:cs="Calibri"/>
                <w:lang w:eastAsia="en-GB"/>
              </w:rPr>
            </w:pPr>
            <w:r w:rsidRPr="00727AFD">
              <w:rPr>
                <w:rFonts w:ascii="Calibri" w:eastAsia="Times New Roman" w:hAnsi="Calibri" w:cs="Calibri"/>
                <w:lang w:eastAsia="en-GB"/>
              </w:rPr>
              <w:t>Alternative measure 1</w:t>
            </w:r>
          </w:p>
        </w:tc>
        <w:tc>
          <w:tcPr>
            <w:tcW w:w="1453" w:type="dxa"/>
            <w:tcBorders>
              <w:top w:val="nil"/>
              <w:left w:val="nil"/>
              <w:bottom w:val="single" w:sz="4" w:space="0" w:color="auto"/>
              <w:right w:val="single" w:sz="4" w:space="0" w:color="auto"/>
            </w:tcBorders>
            <w:shd w:val="clear" w:color="000000" w:fill="DBDBDB"/>
            <w:vAlign w:val="center"/>
            <w:hideMark/>
          </w:tcPr>
          <w:p w14:paraId="0E140AD1" w14:textId="77777777" w:rsidR="00727AFD" w:rsidRPr="00727AFD" w:rsidRDefault="00727AFD" w:rsidP="005315DF">
            <w:pPr>
              <w:spacing w:after="0" w:line="240" w:lineRule="auto"/>
              <w:rPr>
                <w:rFonts w:ascii="Calibri" w:eastAsia="Times New Roman" w:hAnsi="Calibri" w:cs="Calibri"/>
                <w:lang w:eastAsia="en-GB"/>
              </w:rPr>
            </w:pPr>
            <w:r w:rsidRPr="00727AFD">
              <w:rPr>
                <w:rFonts w:ascii="Calibri" w:eastAsia="Times New Roman" w:hAnsi="Calibri" w:cs="Calibri"/>
                <w:lang w:eastAsia="en-GB"/>
              </w:rPr>
              <w:t>Public Sector Leading by Example</w:t>
            </w:r>
          </w:p>
        </w:tc>
        <w:tc>
          <w:tcPr>
            <w:tcW w:w="2193" w:type="dxa"/>
            <w:tcBorders>
              <w:top w:val="nil"/>
              <w:left w:val="nil"/>
              <w:bottom w:val="single" w:sz="4" w:space="0" w:color="auto"/>
              <w:right w:val="single" w:sz="4" w:space="0" w:color="auto"/>
            </w:tcBorders>
            <w:shd w:val="clear" w:color="000000" w:fill="DBDBDB"/>
            <w:vAlign w:val="center"/>
            <w:hideMark/>
          </w:tcPr>
          <w:p w14:paraId="31EFB9CC" w14:textId="7B858101"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0.00</w:t>
            </w:r>
          </w:p>
        </w:tc>
        <w:tc>
          <w:tcPr>
            <w:tcW w:w="2425" w:type="dxa"/>
            <w:tcBorders>
              <w:top w:val="nil"/>
              <w:left w:val="nil"/>
              <w:bottom w:val="single" w:sz="4" w:space="0" w:color="auto"/>
              <w:right w:val="single" w:sz="4" w:space="0" w:color="auto"/>
            </w:tcBorders>
            <w:shd w:val="clear" w:color="000000" w:fill="DBDBDB"/>
            <w:vAlign w:val="center"/>
            <w:hideMark/>
          </w:tcPr>
          <w:p w14:paraId="54B79C57" w14:textId="2492F445"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0.13</w:t>
            </w:r>
          </w:p>
        </w:tc>
        <w:tc>
          <w:tcPr>
            <w:tcW w:w="2576" w:type="dxa"/>
            <w:tcBorders>
              <w:top w:val="nil"/>
              <w:left w:val="nil"/>
              <w:bottom w:val="single" w:sz="4" w:space="0" w:color="auto"/>
              <w:right w:val="single" w:sz="4" w:space="0" w:color="auto"/>
            </w:tcBorders>
            <w:shd w:val="clear" w:color="000000" w:fill="DBDBDB"/>
            <w:vAlign w:val="center"/>
            <w:hideMark/>
          </w:tcPr>
          <w:p w14:paraId="22F593E8" w14:textId="6D93EE24"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0.43</w:t>
            </w:r>
          </w:p>
        </w:tc>
        <w:tc>
          <w:tcPr>
            <w:tcW w:w="2977" w:type="dxa"/>
            <w:tcBorders>
              <w:top w:val="nil"/>
              <w:left w:val="nil"/>
              <w:bottom w:val="single" w:sz="4" w:space="0" w:color="auto"/>
              <w:right w:val="single" w:sz="4" w:space="0" w:color="auto"/>
            </w:tcBorders>
            <w:shd w:val="clear" w:color="000000" w:fill="DBDBDB"/>
            <w:vAlign w:val="center"/>
            <w:hideMark/>
          </w:tcPr>
          <w:p w14:paraId="4237E26E" w14:textId="3DA5981F" w:rsidR="00727AFD" w:rsidRPr="00727AFD" w:rsidRDefault="005C0772"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0.00</w:t>
            </w:r>
          </w:p>
        </w:tc>
      </w:tr>
      <w:tr w:rsidR="005315DF" w:rsidRPr="00727AFD" w14:paraId="58BDCCE0" w14:textId="77777777" w:rsidTr="005315DF">
        <w:trPr>
          <w:trHeight w:val="549"/>
        </w:trPr>
        <w:tc>
          <w:tcPr>
            <w:tcW w:w="650" w:type="dxa"/>
            <w:tcBorders>
              <w:top w:val="nil"/>
              <w:left w:val="single" w:sz="4" w:space="0" w:color="auto"/>
              <w:bottom w:val="single" w:sz="4" w:space="0" w:color="auto"/>
              <w:right w:val="single" w:sz="4" w:space="0" w:color="auto"/>
            </w:tcBorders>
            <w:shd w:val="clear" w:color="auto" w:fill="auto"/>
            <w:vAlign w:val="center"/>
            <w:hideMark/>
          </w:tcPr>
          <w:p w14:paraId="2B5FF1D7" w14:textId="77777777" w:rsidR="00727AFD" w:rsidRPr="00727AFD" w:rsidRDefault="00727AFD" w:rsidP="00727AFD">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44-3</w:t>
            </w:r>
          </w:p>
        </w:tc>
        <w:tc>
          <w:tcPr>
            <w:tcW w:w="1760" w:type="dxa"/>
            <w:tcBorders>
              <w:top w:val="nil"/>
              <w:left w:val="nil"/>
              <w:bottom w:val="single" w:sz="4" w:space="0" w:color="auto"/>
              <w:right w:val="single" w:sz="4" w:space="0" w:color="auto"/>
            </w:tcBorders>
            <w:shd w:val="clear" w:color="auto" w:fill="auto"/>
            <w:vAlign w:val="center"/>
            <w:hideMark/>
          </w:tcPr>
          <w:p w14:paraId="1ACD7F7A" w14:textId="77777777" w:rsidR="00727AFD" w:rsidRPr="00727AFD" w:rsidRDefault="00727AFD" w:rsidP="00727AFD">
            <w:pPr>
              <w:spacing w:after="0" w:line="240" w:lineRule="auto"/>
              <w:rPr>
                <w:rFonts w:ascii="Calibri" w:eastAsia="Times New Roman" w:hAnsi="Calibri" w:cs="Calibri"/>
                <w:lang w:eastAsia="en-GB"/>
              </w:rPr>
            </w:pPr>
            <w:r w:rsidRPr="00727AFD">
              <w:rPr>
                <w:rFonts w:ascii="Calibri" w:eastAsia="Times New Roman" w:hAnsi="Calibri" w:cs="Calibri"/>
                <w:lang w:eastAsia="en-GB"/>
              </w:rPr>
              <w:t>Alternative measure 2</w:t>
            </w:r>
          </w:p>
        </w:tc>
        <w:tc>
          <w:tcPr>
            <w:tcW w:w="1453" w:type="dxa"/>
            <w:tcBorders>
              <w:top w:val="nil"/>
              <w:left w:val="nil"/>
              <w:bottom w:val="single" w:sz="4" w:space="0" w:color="auto"/>
              <w:right w:val="single" w:sz="4" w:space="0" w:color="auto"/>
            </w:tcBorders>
            <w:shd w:val="clear" w:color="000000" w:fill="DBDBDB"/>
            <w:vAlign w:val="center"/>
            <w:hideMark/>
          </w:tcPr>
          <w:p w14:paraId="58A031E7" w14:textId="77777777" w:rsidR="00727AFD" w:rsidRPr="00727AFD" w:rsidRDefault="00727AFD" w:rsidP="005315DF">
            <w:pPr>
              <w:spacing w:after="0" w:line="240" w:lineRule="auto"/>
              <w:rPr>
                <w:rFonts w:ascii="Calibri" w:eastAsia="Times New Roman" w:hAnsi="Calibri" w:cs="Calibri"/>
                <w:lang w:eastAsia="en-GB"/>
              </w:rPr>
            </w:pPr>
            <w:r w:rsidRPr="00727AFD">
              <w:rPr>
                <w:rFonts w:ascii="Calibri" w:eastAsia="Times New Roman" w:hAnsi="Calibri" w:cs="Calibri"/>
                <w:lang w:eastAsia="en-GB"/>
              </w:rPr>
              <w:t>Financing Schemes and instruments and fiscal incentives</w:t>
            </w:r>
          </w:p>
        </w:tc>
        <w:tc>
          <w:tcPr>
            <w:tcW w:w="2193" w:type="dxa"/>
            <w:tcBorders>
              <w:top w:val="nil"/>
              <w:left w:val="nil"/>
              <w:bottom w:val="single" w:sz="4" w:space="0" w:color="auto"/>
              <w:right w:val="single" w:sz="4" w:space="0" w:color="auto"/>
            </w:tcBorders>
            <w:shd w:val="clear" w:color="000000" w:fill="DBDBDB"/>
            <w:vAlign w:val="center"/>
            <w:hideMark/>
          </w:tcPr>
          <w:p w14:paraId="14A748CE" w14:textId="2AD0E3B4"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2.69</w:t>
            </w:r>
          </w:p>
        </w:tc>
        <w:tc>
          <w:tcPr>
            <w:tcW w:w="2425" w:type="dxa"/>
            <w:tcBorders>
              <w:top w:val="nil"/>
              <w:left w:val="nil"/>
              <w:bottom w:val="single" w:sz="4" w:space="0" w:color="auto"/>
              <w:right w:val="single" w:sz="4" w:space="0" w:color="auto"/>
            </w:tcBorders>
            <w:shd w:val="clear" w:color="000000" w:fill="DBDBDB"/>
            <w:vAlign w:val="center"/>
            <w:hideMark/>
          </w:tcPr>
          <w:p w14:paraId="70A0D12A" w14:textId="1F903B86"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1.66</w:t>
            </w:r>
          </w:p>
        </w:tc>
        <w:tc>
          <w:tcPr>
            <w:tcW w:w="2576" w:type="dxa"/>
            <w:tcBorders>
              <w:top w:val="nil"/>
              <w:left w:val="nil"/>
              <w:bottom w:val="single" w:sz="4" w:space="0" w:color="auto"/>
              <w:right w:val="single" w:sz="4" w:space="0" w:color="auto"/>
            </w:tcBorders>
            <w:shd w:val="clear" w:color="000000" w:fill="DBDBDB"/>
            <w:vAlign w:val="center"/>
            <w:hideMark/>
          </w:tcPr>
          <w:p w14:paraId="6485194A" w14:textId="7B8342DF"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0.85</w:t>
            </w:r>
          </w:p>
        </w:tc>
        <w:tc>
          <w:tcPr>
            <w:tcW w:w="2977" w:type="dxa"/>
            <w:tcBorders>
              <w:top w:val="nil"/>
              <w:left w:val="nil"/>
              <w:bottom w:val="single" w:sz="4" w:space="0" w:color="auto"/>
              <w:right w:val="single" w:sz="4" w:space="0" w:color="auto"/>
            </w:tcBorders>
            <w:shd w:val="clear" w:color="000000" w:fill="DBDBDB"/>
            <w:vAlign w:val="center"/>
            <w:hideMark/>
          </w:tcPr>
          <w:p w14:paraId="61280E69" w14:textId="7C5AFACB"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2.41</w:t>
            </w:r>
          </w:p>
        </w:tc>
      </w:tr>
      <w:tr w:rsidR="005315DF" w:rsidRPr="00727AFD" w14:paraId="62F33F8F" w14:textId="77777777" w:rsidTr="005315DF">
        <w:trPr>
          <w:trHeight w:val="549"/>
        </w:trPr>
        <w:tc>
          <w:tcPr>
            <w:tcW w:w="650" w:type="dxa"/>
            <w:tcBorders>
              <w:top w:val="nil"/>
              <w:left w:val="single" w:sz="4" w:space="0" w:color="auto"/>
              <w:bottom w:val="single" w:sz="4" w:space="0" w:color="auto"/>
              <w:right w:val="single" w:sz="4" w:space="0" w:color="auto"/>
            </w:tcBorders>
            <w:shd w:val="clear" w:color="auto" w:fill="auto"/>
            <w:vAlign w:val="center"/>
            <w:hideMark/>
          </w:tcPr>
          <w:p w14:paraId="04699B73" w14:textId="77777777" w:rsidR="00727AFD" w:rsidRPr="00727AFD" w:rsidRDefault="00727AFD" w:rsidP="00727AFD">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44-3</w:t>
            </w:r>
          </w:p>
        </w:tc>
        <w:tc>
          <w:tcPr>
            <w:tcW w:w="1760" w:type="dxa"/>
            <w:tcBorders>
              <w:top w:val="nil"/>
              <w:left w:val="nil"/>
              <w:bottom w:val="single" w:sz="4" w:space="0" w:color="auto"/>
              <w:right w:val="single" w:sz="4" w:space="0" w:color="auto"/>
            </w:tcBorders>
            <w:shd w:val="clear" w:color="auto" w:fill="auto"/>
            <w:vAlign w:val="center"/>
            <w:hideMark/>
          </w:tcPr>
          <w:p w14:paraId="627D37BC" w14:textId="77777777" w:rsidR="00727AFD" w:rsidRPr="00727AFD" w:rsidRDefault="00727AFD" w:rsidP="00727AFD">
            <w:pPr>
              <w:spacing w:after="0" w:line="240" w:lineRule="auto"/>
              <w:rPr>
                <w:rFonts w:ascii="Calibri" w:eastAsia="Times New Roman" w:hAnsi="Calibri" w:cs="Calibri"/>
                <w:lang w:eastAsia="en-GB"/>
              </w:rPr>
            </w:pPr>
            <w:r w:rsidRPr="00727AFD">
              <w:rPr>
                <w:rFonts w:ascii="Calibri" w:eastAsia="Times New Roman" w:hAnsi="Calibri" w:cs="Calibri"/>
                <w:lang w:eastAsia="en-GB"/>
              </w:rPr>
              <w:t>Alternative measure 2</w:t>
            </w:r>
          </w:p>
        </w:tc>
        <w:tc>
          <w:tcPr>
            <w:tcW w:w="1453" w:type="dxa"/>
            <w:tcBorders>
              <w:top w:val="nil"/>
              <w:left w:val="nil"/>
              <w:bottom w:val="single" w:sz="4" w:space="0" w:color="auto"/>
              <w:right w:val="single" w:sz="4" w:space="0" w:color="auto"/>
            </w:tcBorders>
            <w:shd w:val="clear" w:color="000000" w:fill="DBDBDB"/>
            <w:vAlign w:val="center"/>
            <w:hideMark/>
          </w:tcPr>
          <w:p w14:paraId="78D00089" w14:textId="77777777" w:rsidR="00727AFD" w:rsidRPr="00727AFD" w:rsidRDefault="00727AFD" w:rsidP="005315DF">
            <w:pPr>
              <w:spacing w:after="0" w:line="240" w:lineRule="auto"/>
              <w:rPr>
                <w:rFonts w:ascii="Calibri" w:eastAsia="Times New Roman" w:hAnsi="Calibri" w:cs="Calibri"/>
                <w:lang w:eastAsia="en-GB"/>
              </w:rPr>
            </w:pPr>
            <w:r w:rsidRPr="00727AFD">
              <w:rPr>
                <w:rFonts w:ascii="Calibri" w:eastAsia="Times New Roman" w:hAnsi="Calibri" w:cs="Calibri"/>
                <w:lang w:eastAsia="en-GB"/>
              </w:rPr>
              <w:t>Regulations and Voluntary Agreements</w:t>
            </w:r>
          </w:p>
        </w:tc>
        <w:tc>
          <w:tcPr>
            <w:tcW w:w="2193" w:type="dxa"/>
            <w:tcBorders>
              <w:top w:val="nil"/>
              <w:left w:val="nil"/>
              <w:bottom w:val="single" w:sz="4" w:space="0" w:color="auto"/>
              <w:right w:val="single" w:sz="4" w:space="0" w:color="auto"/>
            </w:tcBorders>
            <w:shd w:val="clear" w:color="000000" w:fill="DBDBDB"/>
            <w:vAlign w:val="center"/>
            <w:hideMark/>
          </w:tcPr>
          <w:p w14:paraId="5EB16E6B" w14:textId="0F4B66BA"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0.83</w:t>
            </w:r>
          </w:p>
        </w:tc>
        <w:tc>
          <w:tcPr>
            <w:tcW w:w="2425" w:type="dxa"/>
            <w:tcBorders>
              <w:top w:val="nil"/>
              <w:left w:val="nil"/>
              <w:bottom w:val="single" w:sz="4" w:space="0" w:color="auto"/>
              <w:right w:val="single" w:sz="4" w:space="0" w:color="auto"/>
            </w:tcBorders>
            <w:shd w:val="clear" w:color="000000" w:fill="DBDBDB"/>
            <w:vAlign w:val="center"/>
            <w:hideMark/>
          </w:tcPr>
          <w:p w14:paraId="57E5F961" w14:textId="1F10CD55"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0.48</w:t>
            </w:r>
          </w:p>
        </w:tc>
        <w:tc>
          <w:tcPr>
            <w:tcW w:w="2576" w:type="dxa"/>
            <w:tcBorders>
              <w:top w:val="nil"/>
              <w:left w:val="nil"/>
              <w:bottom w:val="single" w:sz="4" w:space="0" w:color="auto"/>
              <w:right w:val="single" w:sz="4" w:space="0" w:color="auto"/>
            </w:tcBorders>
            <w:shd w:val="clear" w:color="000000" w:fill="DBDBDB"/>
            <w:vAlign w:val="center"/>
            <w:hideMark/>
          </w:tcPr>
          <w:p w14:paraId="2C9CD768" w14:textId="3F88E8A5"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1.40</w:t>
            </w:r>
          </w:p>
        </w:tc>
        <w:tc>
          <w:tcPr>
            <w:tcW w:w="2977" w:type="dxa"/>
            <w:tcBorders>
              <w:top w:val="nil"/>
              <w:left w:val="nil"/>
              <w:bottom w:val="single" w:sz="4" w:space="0" w:color="auto"/>
              <w:right w:val="single" w:sz="4" w:space="0" w:color="auto"/>
            </w:tcBorders>
            <w:shd w:val="clear" w:color="000000" w:fill="DBDBDB"/>
            <w:vAlign w:val="center"/>
            <w:hideMark/>
          </w:tcPr>
          <w:p w14:paraId="18006A1B" w14:textId="1A6EED90" w:rsidR="00727AFD" w:rsidRPr="00727AFD" w:rsidRDefault="00727AFD" w:rsidP="005315DF">
            <w:pPr>
              <w:spacing w:after="0" w:line="240" w:lineRule="auto"/>
              <w:jc w:val="center"/>
              <w:rPr>
                <w:rFonts w:ascii="Calibri" w:eastAsia="Times New Roman" w:hAnsi="Calibri" w:cs="Calibri"/>
                <w:lang w:eastAsia="en-GB"/>
              </w:rPr>
            </w:pPr>
            <w:r w:rsidRPr="00727AFD">
              <w:rPr>
                <w:rFonts w:ascii="Calibri" w:eastAsia="Times New Roman" w:hAnsi="Calibri" w:cs="Calibri"/>
                <w:lang w:eastAsia="en-GB"/>
              </w:rPr>
              <w:t>2.53</w:t>
            </w:r>
          </w:p>
        </w:tc>
      </w:tr>
      <w:tr w:rsidR="005315DF" w:rsidRPr="00727AFD" w14:paraId="4124C5FD" w14:textId="77777777" w:rsidTr="009E72AA">
        <w:trPr>
          <w:trHeight w:val="274"/>
        </w:trPr>
        <w:tc>
          <w:tcPr>
            <w:tcW w:w="650" w:type="dxa"/>
            <w:tcBorders>
              <w:top w:val="nil"/>
              <w:left w:val="nil"/>
              <w:bottom w:val="nil"/>
              <w:right w:val="nil"/>
            </w:tcBorders>
            <w:shd w:val="clear" w:color="auto" w:fill="auto"/>
            <w:noWrap/>
            <w:vAlign w:val="bottom"/>
            <w:hideMark/>
          </w:tcPr>
          <w:p w14:paraId="28DA422B" w14:textId="77777777" w:rsidR="00727AFD" w:rsidRPr="00727AFD" w:rsidRDefault="00727AFD" w:rsidP="009E72AA">
            <w:pPr>
              <w:spacing w:after="0" w:line="240" w:lineRule="auto"/>
              <w:jc w:val="center"/>
              <w:rPr>
                <w:rFonts w:ascii="Calibri" w:eastAsia="Times New Roman" w:hAnsi="Calibri" w:cs="Calibri"/>
                <w:lang w:eastAsia="en-GB"/>
              </w:rPr>
            </w:pPr>
          </w:p>
        </w:tc>
        <w:tc>
          <w:tcPr>
            <w:tcW w:w="1760" w:type="dxa"/>
            <w:tcBorders>
              <w:top w:val="nil"/>
              <w:left w:val="nil"/>
              <w:bottom w:val="nil"/>
              <w:right w:val="nil"/>
            </w:tcBorders>
            <w:shd w:val="clear" w:color="auto" w:fill="auto"/>
            <w:noWrap/>
            <w:vAlign w:val="bottom"/>
            <w:hideMark/>
          </w:tcPr>
          <w:p w14:paraId="582930B4" w14:textId="77777777" w:rsidR="00727AFD" w:rsidRPr="00727AFD" w:rsidRDefault="00727AFD" w:rsidP="009E72AA">
            <w:pPr>
              <w:spacing w:after="0" w:line="240" w:lineRule="auto"/>
              <w:jc w:val="center"/>
              <w:rPr>
                <w:rFonts w:ascii="Times New Roman" w:eastAsia="Times New Roman" w:hAnsi="Times New Roman" w:cs="Times New Roman"/>
                <w:sz w:val="20"/>
                <w:szCs w:val="20"/>
                <w:lang w:eastAsia="en-GB"/>
              </w:rPr>
            </w:pPr>
          </w:p>
        </w:tc>
        <w:tc>
          <w:tcPr>
            <w:tcW w:w="1453" w:type="dxa"/>
            <w:tcBorders>
              <w:top w:val="nil"/>
              <w:left w:val="single" w:sz="4" w:space="0" w:color="auto"/>
              <w:bottom w:val="single" w:sz="4" w:space="0" w:color="auto"/>
              <w:right w:val="single" w:sz="4" w:space="0" w:color="auto"/>
            </w:tcBorders>
            <w:shd w:val="clear" w:color="000000" w:fill="DBDBDB"/>
            <w:vAlign w:val="center"/>
            <w:hideMark/>
          </w:tcPr>
          <w:p w14:paraId="3F3E555D" w14:textId="77777777" w:rsidR="00727AFD" w:rsidRPr="00727AFD" w:rsidRDefault="00727AFD" w:rsidP="009E72AA">
            <w:pPr>
              <w:spacing w:after="0" w:line="240" w:lineRule="auto"/>
              <w:jc w:val="center"/>
              <w:rPr>
                <w:rFonts w:ascii="Calibri" w:eastAsia="Times New Roman" w:hAnsi="Calibri" w:cs="Calibri"/>
                <w:b/>
                <w:bCs/>
                <w:lang w:eastAsia="en-GB"/>
              </w:rPr>
            </w:pPr>
            <w:r w:rsidRPr="00727AFD">
              <w:rPr>
                <w:rFonts w:ascii="Calibri" w:eastAsia="Times New Roman" w:hAnsi="Calibri" w:cs="Calibri"/>
                <w:b/>
                <w:bCs/>
                <w:lang w:eastAsia="en-GB"/>
              </w:rPr>
              <w:t>Total</w:t>
            </w:r>
          </w:p>
        </w:tc>
        <w:tc>
          <w:tcPr>
            <w:tcW w:w="2193" w:type="dxa"/>
            <w:tcBorders>
              <w:top w:val="nil"/>
              <w:left w:val="nil"/>
              <w:bottom w:val="single" w:sz="4" w:space="0" w:color="auto"/>
              <w:right w:val="single" w:sz="4" w:space="0" w:color="auto"/>
            </w:tcBorders>
            <w:shd w:val="clear" w:color="000000" w:fill="DBDBDB"/>
            <w:vAlign w:val="center"/>
            <w:hideMark/>
          </w:tcPr>
          <w:p w14:paraId="555DA0CF" w14:textId="77777777" w:rsidR="00727AFD" w:rsidRPr="00727AFD" w:rsidRDefault="00727AFD" w:rsidP="009E72AA">
            <w:pPr>
              <w:spacing w:after="0" w:line="240" w:lineRule="auto"/>
              <w:jc w:val="center"/>
              <w:rPr>
                <w:rFonts w:ascii="Calibri" w:eastAsia="Times New Roman" w:hAnsi="Calibri" w:cs="Calibri"/>
                <w:b/>
                <w:bCs/>
                <w:lang w:eastAsia="en-GB"/>
              </w:rPr>
            </w:pPr>
            <w:r w:rsidRPr="00727AFD">
              <w:rPr>
                <w:rFonts w:ascii="Calibri" w:eastAsia="Times New Roman" w:hAnsi="Calibri" w:cs="Calibri"/>
                <w:b/>
                <w:bCs/>
                <w:lang w:eastAsia="en-GB"/>
              </w:rPr>
              <w:t>4.24</w:t>
            </w:r>
          </w:p>
        </w:tc>
        <w:tc>
          <w:tcPr>
            <w:tcW w:w="2425" w:type="dxa"/>
            <w:tcBorders>
              <w:top w:val="nil"/>
              <w:left w:val="nil"/>
              <w:bottom w:val="single" w:sz="4" w:space="0" w:color="auto"/>
              <w:right w:val="single" w:sz="4" w:space="0" w:color="auto"/>
            </w:tcBorders>
            <w:shd w:val="clear" w:color="000000" w:fill="DBDBDB"/>
            <w:vAlign w:val="center"/>
            <w:hideMark/>
          </w:tcPr>
          <w:p w14:paraId="03EEFEBE" w14:textId="77777777" w:rsidR="00727AFD" w:rsidRPr="00727AFD" w:rsidRDefault="00727AFD" w:rsidP="009E72AA">
            <w:pPr>
              <w:spacing w:after="0" w:line="240" w:lineRule="auto"/>
              <w:jc w:val="center"/>
              <w:rPr>
                <w:rFonts w:ascii="Calibri" w:eastAsia="Times New Roman" w:hAnsi="Calibri" w:cs="Calibri"/>
                <w:b/>
                <w:bCs/>
                <w:lang w:eastAsia="en-GB"/>
              </w:rPr>
            </w:pPr>
            <w:r w:rsidRPr="00727AFD">
              <w:rPr>
                <w:rFonts w:ascii="Calibri" w:eastAsia="Times New Roman" w:hAnsi="Calibri" w:cs="Calibri"/>
                <w:b/>
                <w:bCs/>
                <w:lang w:eastAsia="en-GB"/>
              </w:rPr>
              <w:t>3.11</w:t>
            </w:r>
          </w:p>
        </w:tc>
        <w:tc>
          <w:tcPr>
            <w:tcW w:w="2576" w:type="dxa"/>
            <w:tcBorders>
              <w:top w:val="nil"/>
              <w:left w:val="nil"/>
              <w:bottom w:val="single" w:sz="4" w:space="0" w:color="auto"/>
              <w:right w:val="single" w:sz="4" w:space="0" w:color="auto"/>
            </w:tcBorders>
            <w:shd w:val="clear" w:color="000000" w:fill="DBDBDB"/>
            <w:vAlign w:val="center"/>
            <w:hideMark/>
          </w:tcPr>
          <w:p w14:paraId="02AF74D3" w14:textId="77777777" w:rsidR="00727AFD" w:rsidRPr="00727AFD" w:rsidRDefault="00727AFD" w:rsidP="009E72AA">
            <w:pPr>
              <w:spacing w:after="0" w:line="240" w:lineRule="auto"/>
              <w:jc w:val="center"/>
              <w:rPr>
                <w:rFonts w:ascii="Calibri" w:eastAsia="Times New Roman" w:hAnsi="Calibri" w:cs="Calibri"/>
                <w:b/>
                <w:bCs/>
                <w:lang w:eastAsia="en-GB"/>
              </w:rPr>
            </w:pPr>
            <w:r w:rsidRPr="00727AFD">
              <w:rPr>
                <w:rFonts w:ascii="Calibri" w:eastAsia="Times New Roman" w:hAnsi="Calibri" w:cs="Calibri"/>
                <w:b/>
                <w:bCs/>
                <w:lang w:eastAsia="en-GB"/>
              </w:rPr>
              <w:t>3.03</w:t>
            </w:r>
          </w:p>
        </w:tc>
        <w:tc>
          <w:tcPr>
            <w:tcW w:w="2977" w:type="dxa"/>
            <w:tcBorders>
              <w:top w:val="nil"/>
              <w:left w:val="nil"/>
              <w:bottom w:val="single" w:sz="4" w:space="0" w:color="auto"/>
              <w:right w:val="single" w:sz="4" w:space="0" w:color="auto"/>
            </w:tcBorders>
            <w:shd w:val="clear" w:color="000000" w:fill="DBDBDB"/>
            <w:vAlign w:val="center"/>
            <w:hideMark/>
          </w:tcPr>
          <w:p w14:paraId="2021862A" w14:textId="77777777" w:rsidR="00727AFD" w:rsidRPr="00727AFD" w:rsidRDefault="00727AFD" w:rsidP="009E72AA">
            <w:pPr>
              <w:spacing w:after="0" w:line="240" w:lineRule="auto"/>
              <w:jc w:val="center"/>
              <w:rPr>
                <w:rFonts w:ascii="Calibri" w:eastAsia="Times New Roman" w:hAnsi="Calibri" w:cs="Calibri"/>
                <w:b/>
                <w:bCs/>
                <w:lang w:eastAsia="en-GB"/>
              </w:rPr>
            </w:pPr>
            <w:r w:rsidRPr="00727AFD">
              <w:rPr>
                <w:rFonts w:ascii="Calibri" w:eastAsia="Times New Roman" w:hAnsi="Calibri" w:cs="Calibri"/>
                <w:b/>
                <w:bCs/>
                <w:lang w:eastAsia="en-GB"/>
              </w:rPr>
              <w:t>5.33</w:t>
            </w:r>
          </w:p>
        </w:tc>
      </w:tr>
    </w:tbl>
    <w:p w14:paraId="77CB073A" w14:textId="0A03877A" w:rsidR="009548FF" w:rsidRDefault="009548FF" w:rsidP="009E72AA">
      <w:pPr>
        <w:autoSpaceDE w:val="0"/>
        <w:autoSpaceDN w:val="0"/>
        <w:adjustRightInd w:val="0"/>
        <w:spacing w:after="0" w:line="240" w:lineRule="auto"/>
        <w:jc w:val="center"/>
        <w:rPr>
          <w:rFonts w:ascii="Calibri" w:hAnsi="Calibri" w:cs="Calibri"/>
          <w:b/>
          <w:bCs/>
          <w:sz w:val="24"/>
          <w:szCs w:val="24"/>
        </w:rPr>
      </w:pPr>
    </w:p>
    <w:p w14:paraId="44710526" w14:textId="35E40B0D" w:rsidR="009548FF" w:rsidRDefault="009548FF" w:rsidP="00C25453">
      <w:pPr>
        <w:autoSpaceDE w:val="0"/>
        <w:autoSpaceDN w:val="0"/>
        <w:adjustRightInd w:val="0"/>
        <w:spacing w:after="0" w:line="240" w:lineRule="auto"/>
        <w:jc w:val="both"/>
        <w:rPr>
          <w:rFonts w:ascii="Calibri" w:hAnsi="Calibri" w:cs="Calibri"/>
          <w:b/>
          <w:bCs/>
          <w:sz w:val="24"/>
          <w:szCs w:val="24"/>
        </w:rPr>
      </w:pPr>
    </w:p>
    <w:p w14:paraId="0888CA4B" w14:textId="147402C7" w:rsidR="009548FF" w:rsidRDefault="009548FF" w:rsidP="00C25453">
      <w:pPr>
        <w:autoSpaceDE w:val="0"/>
        <w:autoSpaceDN w:val="0"/>
        <w:adjustRightInd w:val="0"/>
        <w:spacing w:after="0" w:line="240" w:lineRule="auto"/>
        <w:jc w:val="both"/>
        <w:rPr>
          <w:rFonts w:ascii="Calibri" w:hAnsi="Calibri" w:cs="Calibri"/>
          <w:b/>
          <w:bCs/>
          <w:sz w:val="24"/>
          <w:szCs w:val="24"/>
        </w:rPr>
      </w:pPr>
    </w:p>
    <w:p w14:paraId="419B4DB5" w14:textId="70D84E6E" w:rsidR="009548FF" w:rsidRDefault="009548FF" w:rsidP="00C25453">
      <w:pPr>
        <w:autoSpaceDE w:val="0"/>
        <w:autoSpaceDN w:val="0"/>
        <w:adjustRightInd w:val="0"/>
        <w:spacing w:after="0" w:line="240" w:lineRule="auto"/>
        <w:jc w:val="both"/>
        <w:rPr>
          <w:rFonts w:ascii="Calibri" w:hAnsi="Calibri" w:cs="Calibri"/>
          <w:b/>
          <w:bCs/>
          <w:sz w:val="24"/>
          <w:szCs w:val="24"/>
        </w:rPr>
      </w:pPr>
    </w:p>
    <w:p w14:paraId="3545C474" w14:textId="53660D32" w:rsidR="009548FF" w:rsidRDefault="009548FF" w:rsidP="00C25453">
      <w:pPr>
        <w:autoSpaceDE w:val="0"/>
        <w:autoSpaceDN w:val="0"/>
        <w:adjustRightInd w:val="0"/>
        <w:spacing w:after="0" w:line="240" w:lineRule="auto"/>
        <w:jc w:val="both"/>
        <w:rPr>
          <w:rFonts w:ascii="Calibri" w:hAnsi="Calibri" w:cs="Calibri"/>
          <w:b/>
          <w:bCs/>
          <w:sz w:val="24"/>
          <w:szCs w:val="24"/>
        </w:rPr>
      </w:pPr>
    </w:p>
    <w:p w14:paraId="0D150ADD" w14:textId="66655F5B" w:rsidR="009548FF" w:rsidRDefault="009548FF" w:rsidP="00C25453">
      <w:pPr>
        <w:autoSpaceDE w:val="0"/>
        <w:autoSpaceDN w:val="0"/>
        <w:adjustRightInd w:val="0"/>
        <w:spacing w:after="0" w:line="240" w:lineRule="auto"/>
        <w:jc w:val="both"/>
        <w:rPr>
          <w:rFonts w:ascii="Calibri" w:hAnsi="Calibri" w:cs="Calibri"/>
          <w:b/>
          <w:bCs/>
          <w:sz w:val="24"/>
          <w:szCs w:val="24"/>
        </w:rPr>
      </w:pPr>
    </w:p>
    <w:p w14:paraId="5A0810FB" w14:textId="289729C6" w:rsidR="009548FF" w:rsidRDefault="009548FF" w:rsidP="00C25453">
      <w:pPr>
        <w:autoSpaceDE w:val="0"/>
        <w:autoSpaceDN w:val="0"/>
        <w:adjustRightInd w:val="0"/>
        <w:spacing w:after="0" w:line="240" w:lineRule="auto"/>
        <w:jc w:val="both"/>
        <w:rPr>
          <w:rFonts w:ascii="Calibri" w:hAnsi="Calibri" w:cs="Calibri"/>
          <w:b/>
          <w:bCs/>
          <w:sz w:val="24"/>
          <w:szCs w:val="24"/>
        </w:rPr>
      </w:pPr>
    </w:p>
    <w:tbl>
      <w:tblPr>
        <w:tblW w:w="13041" w:type="dxa"/>
        <w:tblLook w:val="04A0" w:firstRow="1" w:lastRow="0" w:firstColumn="1" w:lastColumn="0" w:noHBand="0" w:noVBand="1"/>
      </w:tblPr>
      <w:tblGrid>
        <w:gridCol w:w="850"/>
        <w:gridCol w:w="1513"/>
        <w:gridCol w:w="2680"/>
        <w:gridCol w:w="2521"/>
        <w:gridCol w:w="2521"/>
        <w:gridCol w:w="2956"/>
      </w:tblGrid>
      <w:tr w:rsidR="000B16D4" w:rsidRPr="000B16D4" w14:paraId="1D75B68C" w14:textId="77777777" w:rsidTr="000B16D4">
        <w:trPr>
          <w:trHeight w:val="305"/>
        </w:trPr>
        <w:tc>
          <w:tcPr>
            <w:tcW w:w="5043" w:type="dxa"/>
            <w:gridSpan w:val="3"/>
            <w:tcBorders>
              <w:top w:val="nil"/>
              <w:left w:val="nil"/>
              <w:bottom w:val="nil"/>
              <w:right w:val="nil"/>
            </w:tcBorders>
            <w:shd w:val="clear" w:color="auto" w:fill="auto"/>
            <w:noWrap/>
            <w:vAlign w:val="bottom"/>
            <w:hideMark/>
          </w:tcPr>
          <w:p w14:paraId="21359E99" w14:textId="77777777" w:rsidR="000B16D4" w:rsidRPr="000B16D4" w:rsidRDefault="000B16D4" w:rsidP="000B16D4">
            <w:pPr>
              <w:spacing w:after="0" w:line="240" w:lineRule="auto"/>
              <w:rPr>
                <w:rFonts w:ascii="Calibri" w:eastAsia="Times New Roman" w:hAnsi="Calibri" w:cs="Calibri"/>
                <w:b/>
                <w:bCs/>
                <w:color w:val="000000"/>
                <w:lang w:eastAsia="en-GB"/>
              </w:rPr>
            </w:pPr>
            <w:r w:rsidRPr="000B16D4">
              <w:rPr>
                <w:rFonts w:ascii="Calibri" w:eastAsia="Times New Roman" w:hAnsi="Calibri" w:cs="Calibri"/>
                <w:b/>
                <w:bCs/>
                <w:color w:val="000000"/>
                <w:lang w:eastAsia="en-GB"/>
              </w:rPr>
              <w:t>TOTAL CUMMULATIVE SAVINGS</w:t>
            </w:r>
          </w:p>
        </w:tc>
        <w:tc>
          <w:tcPr>
            <w:tcW w:w="2521" w:type="dxa"/>
            <w:tcBorders>
              <w:top w:val="nil"/>
              <w:left w:val="nil"/>
              <w:bottom w:val="nil"/>
              <w:right w:val="nil"/>
            </w:tcBorders>
            <w:shd w:val="clear" w:color="auto" w:fill="auto"/>
            <w:noWrap/>
            <w:vAlign w:val="bottom"/>
            <w:hideMark/>
          </w:tcPr>
          <w:p w14:paraId="211218AB" w14:textId="77777777" w:rsidR="000B16D4" w:rsidRPr="000B16D4" w:rsidRDefault="000B16D4" w:rsidP="000B16D4">
            <w:pPr>
              <w:spacing w:after="0" w:line="240" w:lineRule="auto"/>
              <w:rPr>
                <w:rFonts w:ascii="Calibri" w:eastAsia="Times New Roman" w:hAnsi="Calibri" w:cs="Calibri"/>
                <w:b/>
                <w:bCs/>
                <w:color w:val="000000"/>
                <w:lang w:eastAsia="en-GB"/>
              </w:rPr>
            </w:pPr>
          </w:p>
        </w:tc>
        <w:tc>
          <w:tcPr>
            <w:tcW w:w="2521" w:type="dxa"/>
            <w:tcBorders>
              <w:top w:val="nil"/>
              <w:left w:val="nil"/>
              <w:bottom w:val="nil"/>
              <w:right w:val="nil"/>
            </w:tcBorders>
            <w:shd w:val="clear" w:color="auto" w:fill="auto"/>
            <w:noWrap/>
            <w:vAlign w:val="bottom"/>
            <w:hideMark/>
          </w:tcPr>
          <w:p w14:paraId="4E491DBB" w14:textId="77777777" w:rsidR="000B16D4" w:rsidRPr="000B16D4" w:rsidRDefault="000B16D4" w:rsidP="000B16D4">
            <w:pPr>
              <w:spacing w:after="0" w:line="240" w:lineRule="auto"/>
              <w:rPr>
                <w:rFonts w:ascii="Times New Roman" w:eastAsia="Times New Roman" w:hAnsi="Times New Roman" w:cs="Times New Roman"/>
                <w:sz w:val="20"/>
                <w:szCs w:val="20"/>
                <w:lang w:eastAsia="en-GB"/>
              </w:rPr>
            </w:pPr>
          </w:p>
        </w:tc>
        <w:tc>
          <w:tcPr>
            <w:tcW w:w="2956" w:type="dxa"/>
            <w:tcBorders>
              <w:top w:val="nil"/>
              <w:left w:val="nil"/>
              <w:bottom w:val="nil"/>
              <w:right w:val="nil"/>
            </w:tcBorders>
            <w:shd w:val="clear" w:color="auto" w:fill="auto"/>
            <w:noWrap/>
            <w:vAlign w:val="bottom"/>
            <w:hideMark/>
          </w:tcPr>
          <w:p w14:paraId="66065EF4" w14:textId="77777777" w:rsidR="000B16D4" w:rsidRPr="000B16D4" w:rsidRDefault="000B16D4" w:rsidP="000B16D4">
            <w:pPr>
              <w:spacing w:after="0" w:line="240" w:lineRule="auto"/>
              <w:rPr>
                <w:rFonts w:ascii="Times New Roman" w:eastAsia="Times New Roman" w:hAnsi="Times New Roman" w:cs="Times New Roman"/>
                <w:sz w:val="20"/>
                <w:szCs w:val="20"/>
                <w:lang w:eastAsia="en-GB"/>
              </w:rPr>
            </w:pPr>
          </w:p>
        </w:tc>
      </w:tr>
      <w:tr w:rsidR="000B16D4" w:rsidRPr="000B16D4" w14:paraId="62C662DF" w14:textId="77777777" w:rsidTr="000B16D4">
        <w:trPr>
          <w:trHeight w:val="610"/>
        </w:trPr>
        <w:tc>
          <w:tcPr>
            <w:tcW w:w="236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E8CEA8"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Energy savings achieved in 2018                                     </w:t>
            </w:r>
            <w:proofErr w:type="gramStart"/>
            <w:r w:rsidRPr="000B16D4">
              <w:rPr>
                <w:rFonts w:ascii="Calibri" w:eastAsia="Times New Roman" w:hAnsi="Calibri" w:cs="Calibri"/>
                <w:lang w:eastAsia="en-GB"/>
              </w:rPr>
              <w:t xml:space="preserve">   (</w:t>
            </w:r>
            <w:proofErr w:type="gramEnd"/>
            <w:r w:rsidRPr="000B16D4">
              <w:rPr>
                <w:rFonts w:ascii="Calibri" w:eastAsia="Times New Roman" w:hAnsi="Calibri" w:cs="Calibri"/>
                <w:lang w:eastAsia="en-GB"/>
              </w:rPr>
              <w:t>savings achieved from measures and notified under Article 7(2)c) and (d) shall not be part of this table)</w:t>
            </w:r>
          </w:p>
        </w:tc>
        <w:tc>
          <w:tcPr>
            <w:tcW w:w="2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4CECE8" w14:textId="67266659" w:rsidR="000B16D4" w:rsidRPr="000B16D4" w:rsidRDefault="006B4AEC" w:rsidP="006B4AEC">
            <w:pPr>
              <w:spacing w:after="0" w:line="240" w:lineRule="auto"/>
              <w:rPr>
                <w:rFonts w:ascii="Calibri" w:eastAsia="Times New Roman" w:hAnsi="Calibri" w:cs="Calibri"/>
                <w:lang w:eastAsia="en-GB"/>
              </w:rPr>
            </w:pPr>
            <w:r>
              <w:rPr>
                <w:rFonts w:ascii="Calibri" w:eastAsia="Times New Roman" w:hAnsi="Calibri" w:cs="Calibri"/>
                <w:lang w:eastAsia="en-GB"/>
              </w:rPr>
              <w:t xml:space="preserve">Policy measure </w:t>
            </w:r>
          </w:p>
        </w:tc>
        <w:tc>
          <w:tcPr>
            <w:tcW w:w="2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294D02"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Total </w:t>
            </w:r>
            <w:proofErr w:type="spellStart"/>
            <w:r w:rsidRPr="000B16D4">
              <w:rPr>
                <w:rFonts w:ascii="Calibri" w:eastAsia="Times New Roman" w:hAnsi="Calibri" w:cs="Calibri"/>
                <w:b/>
                <w:bCs/>
                <w:lang w:eastAsia="en-GB"/>
              </w:rPr>
              <w:t>cummulative</w:t>
            </w:r>
            <w:proofErr w:type="spellEnd"/>
            <w:r w:rsidRPr="000B16D4">
              <w:rPr>
                <w:rFonts w:ascii="Calibri" w:eastAsia="Times New Roman" w:hAnsi="Calibri" w:cs="Calibri"/>
                <w:lang w:eastAsia="en-GB"/>
              </w:rPr>
              <w:t xml:space="preserve"> end-use savings achieved [</w:t>
            </w:r>
            <w:proofErr w:type="spellStart"/>
            <w:r w:rsidRPr="000B16D4">
              <w:rPr>
                <w:rFonts w:ascii="Calibri" w:eastAsia="Times New Roman" w:hAnsi="Calibri" w:cs="Calibri"/>
                <w:lang w:eastAsia="en-GB"/>
              </w:rPr>
              <w:t>ktoe</w:t>
            </w:r>
            <w:proofErr w:type="spellEnd"/>
            <w:r w:rsidRPr="000B16D4">
              <w:rPr>
                <w:rFonts w:ascii="Calibri" w:eastAsia="Times New Roman" w:hAnsi="Calibri" w:cs="Calibri"/>
                <w:lang w:eastAsia="en-GB"/>
              </w:rPr>
              <w:t xml:space="preserve">] </w:t>
            </w:r>
            <w:r w:rsidRPr="000B16D4">
              <w:rPr>
                <w:rFonts w:ascii="Calibri" w:eastAsia="Times New Roman" w:hAnsi="Calibri" w:cs="Calibri"/>
                <w:b/>
                <w:lang w:eastAsia="en-GB"/>
              </w:rPr>
              <w:t>from 2014 to 2015</w:t>
            </w:r>
            <w:r w:rsidRPr="000B16D4">
              <w:rPr>
                <w:rFonts w:ascii="Calibri" w:eastAsia="Times New Roman" w:hAnsi="Calibri" w:cs="Calibri"/>
                <w:lang w:eastAsia="en-GB"/>
              </w:rPr>
              <w:t xml:space="preserve"> </w:t>
            </w:r>
          </w:p>
        </w:tc>
        <w:tc>
          <w:tcPr>
            <w:tcW w:w="2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7C1F90"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Total </w:t>
            </w:r>
            <w:proofErr w:type="spellStart"/>
            <w:r w:rsidRPr="000B16D4">
              <w:rPr>
                <w:rFonts w:ascii="Calibri" w:eastAsia="Times New Roman" w:hAnsi="Calibri" w:cs="Calibri"/>
                <w:b/>
                <w:bCs/>
                <w:lang w:eastAsia="en-GB"/>
              </w:rPr>
              <w:t>cummulative</w:t>
            </w:r>
            <w:proofErr w:type="spellEnd"/>
            <w:r w:rsidRPr="000B16D4">
              <w:rPr>
                <w:rFonts w:ascii="Calibri" w:eastAsia="Times New Roman" w:hAnsi="Calibri" w:cs="Calibri"/>
                <w:lang w:eastAsia="en-GB"/>
              </w:rPr>
              <w:t xml:space="preserve"> end-use savings achieved [</w:t>
            </w:r>
            <w:proofErr w:type="spellStart"/>
            <w:r w:rsidRPr="000B16D4">
              <w:rPr>
                <w:rFonts w:ascii="Calibri" w:eastAsia="Times New Roman" w:hAnsi="Calibri" w:cs="Calibri"/>
                <w:lang w:eastAsia="en-GB"/>
              </w:rPr>
              <w:t>ktoe</w:t>
            </w:r>
            <w:proofErr w:type="spellEnd"/>
            <w:r w:rsidRPr="000B16D4">
              <w:rPr>
                <w:rFonts w:ascii="Calibri" w:eastAsia="Times New Roman" w:hAnsi="Calibri" w:cs="Calibri"/>
                <w:lang w:eastAsia="en-GB"/>
              </w:rPr>
              <w:t xml:space="preserve">] </w:t>
            </w:r>
            <w:r w:rsidRPr="000B16D4">
              <w:rPr>
                <w:rFonts w:ascii="Calibri" w:eastAsia="Times New Roman" w:hAnsi="Calibri" w:cs="Calibri"/>
                <w:b/>
                <w:lang w:eastAsia="en-GB"/>
              </w:rPr>
              <w:t>from 2014 to 2016</w:t>
            </w:r>
            <w:r w:rsidRPr="000B16D4">
              <w:rPr>
                <w:rFonts w:ascii="Calibri" w:eastAsia="Times New Roman" w:hAnsi="Calibri" w:cs="Calibri"/>
                <w:lang w:eastAsia="en-GB"/>
              </w:rPr>
              <w:t xml:space="preserve"> </w:t>
            </w:r>
          </w:p>
        </w:tc>
        <w:tc>
          <w:tcPr>
            <w:tcW w:w="2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D3CF5A"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Total </w:t>
            </w:r>
            <w:proofErr w:type="spellStart"/>
            <w:r w:rsidRPr="000B16D4">
              <w:rPr>
                <w:rFonts w:ascii="Calibri" w:eastAsia="Times New Roman" w:hAnsi="Calibri" w:cs="Calibri"/>
                <w:b/>
                <w:bCs/>
                <w:lang w:eastAsia="en-GB"/>
              </w:rPr>
              <w:t>cummulative</w:t>
            </w:r>
            <w:proofErr w:type="spellEnd"/>
            <w:r w:rsidRPr="000B16D4">
              <w:rPr>
                <w:rFonts w:ascii="Calibri" w:eastAsia="Times New Roman" w:hAnsi="Calibri" w:cs="Calibri"/>
                <w:lang w:eastAsia="en-GB"/>
              </w:rPr>
              <w:t xml:space="preserve"> end-use savings achieved [</w:t>
            </w:r>
            <w:proofErr w:type="spellStart"/>
            <w:r w:rsidRPr="000B16D4">
              <w:rPr>
                <w:rFonts w:ascii="Calibri" w:eastAsia="Times New Roman" w:hAnsi="Calibri" w:cs="Calibri"/>
                <w:lang w:eastAsia="en-GB"/>
              </w:rPr>
              <w:t>ktoe</w:t>
            </w:r>
            <w:proofErr w:type="spellEnd"/>
            <w:r w:rsidRPr="000B16D4">
              <w:rPr>
                <w:rFonts w:ascii="Calibri" w:eastAsia="Times New Roman" w:hAnsi="Calibri" w:cs="Calibri"/>
                <w:lang w:eastAsia="en-GB"/>
              </w:rPr>
              <w:t xml:space="preserve">] </w:t>
            </w:r>
            <w:r w:rsidRPr="000B16D4">
              <w:rPr>
                <w:rFonts w:ascii="Calibri" w:eastAsia="Times New Roman" w:hAnsi="Calibri" w:cs="Calibri"/>
                <w:b/>
                <w:lang w:eastAsia="en-GB"/>
              </w:rPr>
              <w:t>from 2014 to 2017</w:t>
            </w:r>
            <w:r w:rsidRPr="000B16D4">
              <w:rPr>
                <w:rFonts w:ascii="Calibri" w:eastAsia="Times New Roman" w:hAnsi="Calibri" w:cs="Calibri"/>
                <w:lang w:eastAsia="en-GB"/>
              </w:rPr>
              <w:t xml:space="preserve"> </w:t>
            </w:r>
          </w:p>
        </w:tc>
      </w:tr>
      <w:tr w:rsidR="000B16D4" w:rsidRPr="000B16D4" w14:paraId="1CE23C86" w14:textId="77777777" w:rsidTr="000B16D4">
        <w:trPr>
          <w:trHeight w:val="509"/>
        </w:trPr>
        <w:tc>
          <w:tcPr>
            <w:tcW w:w="2363" w:type="dxa"/>
            <w:gridSpan w:val="2"/>
            <w:vMerge/>
            <w:tcBorders>
              <w:top w:val="single" w:sz="4" w:space="0" w:color="auto"/>
              <w:left w:val="single" w:sz="4" w:space="0" w:color="auto"/>
              <w:bottom w:val="single" w:sz="4" w:space="0" w:color="000000"/>
              <w:right w:val="single" w:sz="4" w:space="0" w:color="000000"/>
            </w:tcBorders>
            <w:vAlign w:val="center"/>
            <w:hideMark/>
          </w:tcPr>
          <w:p w14:paraId="6FCBE12C" w14:textId="77777777" w:rsidR="000B16D4" w:rsidRPr="000B16D4" w:rsidRDefault="000B16D4" w:rsidP="000B16D4">
            <w:pPr>
              <w:spacing w:after="0" w:line="240" w:lineRule="auto"/>
              <w:rPr>
                <w:rFonts w:ascii="Calibri" w:eastAsia="Times New Roman" w:hAnsi="Calibri" w:cs="Calibri"/>
                <w:lang w:eastAsia="en-GB"/>
              </w:rPr>
            </w:pPr>
          </w:p>
        </w:tc>
        <w:tc>
          <w:tcPr>
            <w:tcW w:w="2680" w:type="dxa"/>
            <w:vMerge/>
            <w:tcBorders>
              <w:top w:val="single" w:sz="4" w:space="0" w:color="auto"/>
              <w:left w:val="single" w:sz="4" w:space="0" w:color="auto"/>
              <w:bottom w:val="single" w:sz="4" w:space="0" w:color="000000"/>
              <w:right w:val="single" w:sz="4" w:space="0" w:color="auto"/>
            </w:tcBorders>
            <w:vAlign w:val="center"/>
            <w:hideMark/>
          </w:tcPr>
          <w:p w14:paraId="7B8A3EDB" w14:textId="77777777" w:rsidR="000B16D4" w:rsidRPr="000B16D4" w:rsidRDefault="000B16D4" w:rsidP="000B16D4">
            <w:pPr>
              <w:spacing w:after="0" w:line="240" w:lineRule="auto"/>
              <w:rPr>
                <w:rFonts w:ascii="Calibri" w:eastAsia="Times New Roman" w:hAnsi="Calibri" w:cs="Calibri"/>
                <w:lang w:eastAsia="en-GB"/>
              </w:rPr>
            </w:pPr>
          </w:p>
        </w:tc>
        <w:tc>
          <w:tcPr>
            <w:tcW w:w="2521" w:type="dxa"/>
            <w:vMerge/>
            <w:tcBorders>
              <w:top w:val="single" w:sz="4" w:space="0" w:color="auto"/>
              <w:left w:val="single" w:sz="4" w:space="0" w:color="auto"/>
              <w:bottom w:val="single" w:sz="4" w:space="0" w:color="000000"/>
              <w:right w:val="single" w:sz="4" w:space="0" w:color="auto"/>
            </w:tcBorders>
            <w:vAlign w:val="center"/>
            <w:hideMark/>
          </w:tcPr>
          <w:p w14:paraId="019A4ABA" w14:textId="77777777" w:rsidR="000B16D4" w:rsidRPr="000B16D4" w:rsidRDefault="000B16D4" w:rsidP="000B16D4">
            <w:pPr>
              <w:spacing w:after="0" w:line="240" w:lineRule="auto"/>
              <w:rPr>
                <w:rFonts w:ascii="Calibri" w:eastAsia="Times New Roman" w:hAnsi="Calibri" w:cs="Calibri"/>
                <w:lang w:eastAsia="en-GB"/>
              </w:rPr>
            </w:pPr>
          </w:p>
        </w:tc>
        <w:tc>
          <w:tcPr>
            <w:tcW w:w="2521" w:type="dxa"/>
            <w:vMerge/>
            <w:tcBorders>
              <w:top w:val="single" w:sz="4" w:space="0" w:color="auto"/>
              <w:left w:val="single" w:sz="4" w:space="0" w:color="auto"/>
              <w:bottom w:val="single" w:sz="4" w:space="0" w:color="000000"/>
              <w:right w:val="single" w:sz="4" w:space="0" w:color="auto"/>
            </w:tcBorders>
            <w:vAlign w:val="center"/>
            <w:hideMark/>
          </w:tcPr>
          <w:p w14:paraId="17317C18" w14:textId="77777777" w:rsidR="000B16D4" w:rsidRPr="000B16D4" w:rsidRDefault="000B16D4" w:rsidP="000B16D4">
            <w:pPr>
              <w:spacing w:after="0" w:line="240" w:lineRule="auto"/>
              <w:rPr>
                <w:rFonts w:ascii="Calibri" w:eastAsia="Times New Roman" w:hAnsi="Calibri" w:cs="Calibri"/>
                <w:lang w:eastAsia="en-GB"/>
              </w:rPr>
            </w:pPr>
          </w:p>
        </w:tc>
        <w:tc>
          <w:tcPr>
            <w:tcW w:w="2956" w:type="dxa"/>
            <w:vMerge/>
            <w:tcBorders>
              <w:top w:val="single" w:sz="4" w:space="0" w:color="auto"/>
              <w:left w:val="single" w:sz="4" w:space="0" w:color="auto"/>
              <w:bottom w:val="single" w:sz="4" w:space="0" w:color="000000"/>
              <w:right w:val="single" w:sz="4" w:space="0" w:color="auto"/>
            </w:tcBorders>
            <w:vAlign w:val="center"/>
            <w:hideMark/>
          </w:tcPr>
          <w:p w14:paraId="607252E0" w14:textId="77777777" w:rsidR="000B16D4" w:rsidRPr="000B16D4" w:rsidRDefault="000B16D4" w:rsidP="000B16D4">
            <w:pPr>
              <w:spacing w:after="0" w:line="240" w:lineRule="auto"/>
              <w:rPr>
                <w:rFonts w:ascii="Calibri" w:eastAsia="Times New Roman" w:hAnsi="Calibri" w:cs="Calibri"/>
                <w:lang w:eastAsia="en-GB"/>
              </w:rPr>
            </w:pPr>
          </w:p>
        </w:tc>
      </w:tr>
      <w:tr w:rsidR="000B16D4" w:rsidRPr="000B16D4" w14:paraId="056D4014" w14:textId="77777777" w:rsidTr="000B16D4">
        <w:trPr>
          <w:trHeight w:val="30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89415"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44-1</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14:paraId="4B95B455" w14:textId="77777777" w:rsidR="000B16D4" w:rsidRPr="000B16D4" w:rsidRDefault="000B16D4" w:rsidP="000B16D4">
            <w:pPr>
              <w:spacing w:after="0" w:line="240" w:lineRule="auto"/>
              <w:rPr>
                <w:rFonts w:ascii="Calibri" w:eastAsia="Times New Roman" w:hAnsi="Calibri" w:cs="Calibri"/>
                <w:lang w:eastAsia="en-GB"/>
              </w:rPr>
            </w:pPr>
            <w:r w:rsidRPr="000B16D4">
              <w:rPr>
                <w:rFonts w:ascii="Calibri" w:eastAsia="Times New Roman" w:hAnsi="Calibri" w:cs="Calibri"/>
                <w:lang w:eastAsia="en-GB"/>
              </w:rPr>
              <w:t>EEOS</w:t>
            </w:r>
          </w:p>
        </w:tc>
        <w:tc>
          <w:tcPr>
            <w:tcW w:w="2680" w:type="dxa"/>
            <w:tcBorders>
              <w:top w:val="nil"/>
              <w:left w:val="nil"/>
              <w:bottom w:val="single" w:sz="4" w:space="0" w:color="auto"/>
              <w:right w:val="single" w:sz="4" w:space="0" w:color="auto"/>
            </w:tcBorders>
            <w:shd w:val="clear" w:color="000000" w:fill="DBDBDB"/>
            <w:vAlign w:val="center"/>
            <w:hideMark/>
          </w:tcPr>
          <w:p w14:paraId="4933FE64"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Energy Efficiency Obligation Scheme</w:t>
            </w:r>
          </w:p>
        </w:tc>
        <w:tc>
          <w:tcPr>
            <w:tcW w:w="2521" w:type="dxa"/>
            <w:tcBorders>
              <w:top w:val="nil"/>
              <w:left w:val="nil"/>
              <w:bottom w:val="single" w:sz="4" w:space="0" w:color="auto"/>
              <w:right w:val="single" w:sz="4" w:space="0" w:color="auto"/>
            </w:tcBorders>
            <w:shd w:val="clear" w:color="000000" w:fill="DBDBDB"/>
            <w:vAlign w:val="bottom"/>
            <w:hideMark/>
          </w:tcPr>
          <w:p w14:paraId="6AB3102D"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1.57 </w:t>
            </w:r>
          </w:p>
        </w:tc>
        <w:tc>
          <w:tcPr>
            <w:tcW w:w="2521" w:type="dxa"/>
            <w:tcBorders>
              <w:top w:val="nil"/>
              <w:left w:val="nil"/>
              <w:bottom w:val="single" w:sz="4" w:space="0" w:color="auto"/>
              <w:right w:val="single" w:sz="4" w:space="0" w:color="auto"/>
            </w:tcBorders>
            <w:shd w:val="clear" w:color="000000" w:fill="DBDBDB"/>
            <w:vAlign w:val="bottom"/>
            <w:hideMark/>
          </w:tcPr>
          <w:p w14:paraId="728083FB"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1.92 </w:t>
            </w:r>
          </w:p>
        </w:tc>
        <w:tc>
          <w:tcPr>
            <w:tcW w:w="2956" w:type="dxa"/>
            <w:tcBorders>
              <w:top w:val="nil"/>
              <w:left w:val="nil"/>
              <w:bottom w:val="single" w:sz="4" w:space="0" w:color="auto"/>
              <w:right w:val="single" w:sz="4" w:space="0" w:color="auto"/>
            </w:tcBorders>
            <w:shd w:val="clear" w:color="000000" w:fill="DBDBDB"/>
            <w:vAlign w:val="bottom"/>
            <w:hideMark/>
          </w:tcPr>
          <w:p w14:paraId="47543B21"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2.31 </w:t>
            </w:r>
          </w:p>
        </w:tc>
      </w:tr>
      <w:tr w:rsidR="000B16D4" w:rsidRPr="000B16D4" w14:paraId="6BF5158F" w14:textId="77777777" w:rsidTr="000B16D4">
        <w:trPr>
          <w:trHeight w:val="610"/>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4B3FDFA2"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lastRenderedPageBreak/>
              <w:t>44-2</w:t>
            </w:r>
          </w:p>
        </w:tc>
        <w:tc>
          <w:tcPr>
            <w:tcW w:w="1513" w:type="dxa"/>
            <w:tcBorders>
              <w:top w:val="nil"/>
              <w:left w:val="nil"/>
              <w:bottom w:val="single" w:sz="4" w:space="0" w:color="auto"/>
              <w:right w:val="single" w:sz="4" w:space="0" w:color="auto"/>
            </w:tcBorders>
            <w:shd w:val="clear" w:color="auto" w:fill="auto"/>
            <w:vAlign w:val="center"/>
            <w:hideMark/>
          </w:tcPr>
          <w:p w14:paraId="6C7335AC" w14:textId="77777777" w:rsidR="000B16D4" w:rsidRPr="000B16D4" w:rsidRDefault="000B16D4" w:rsidP="000B16D4">
            <w:pPr>
              <w:spacing w:after="0" w:line="240" w:lineRule="auto"/>
              <w:rPr>
                <w:rFonts w:ascii="Calibri" w:eastAsia="Times New Roman" w:hAnsi="Calibri" w:cs="Calibri"/>
                <w:lang w:eastAsia="en-GB"/>
              </w:rPr>
            </w:pPr>
            <w:r w:rsidRPr="000B16D4">
              <w:rPr>
                <w:rFonts w:ascii="Calibri" w:eastAsia="Times New Roman" w:hAnsi="Calibri" w:cs="Calibri"/>
                <w:lang w:eastAsia="en-GB"/>
              </w:rPr>
              <w:t>Alternative measure 1</w:t>
            </w:r>
          </w:p>
        </w:tc>
        <w:tc>
          <w:tcPr>
            <w:tcW w:w="2680" w:type="dxa"/>
            <w:tcBorders>
              <w:top w:val="nil"/>
              <w:left w:val="nil"/>
              <w:bottom w:val="single" w:sz="4" w:space="0" w:color="auto"/>
              <w:right w:val="single" w:sz="4" w:space="0" w:color="auto"/>
            </w:tcBorders>
            <w:shd w:val="clear" w:color="000000" w:fill="DBDBDB"/>
            <w:vAlign w:val="center"/>
            <w:hideMark/>
          </w:tcPr>
          <w:p w14:paraId="1ADEEFF0"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Public Sector Leading by Example</w:t>
            </w:r>
          </w:p>
        </w:tc>
        <w:tc>
          <w:tcPr>
            <w:tcW w:w="2521" w:type="dxa"/>
            <w:tcBorders>
              <w:top w:val="nil"/>
              <w:left w:val="nil"/>
              <w:bottom w:val="single" w:sz="4" w:space="0" w:color="auto"/>
              <w:right w:val="single" w:sz="4" w:space="0" w:color="auto"/>
            </w:tcBorders>
            <w:shd w:val="clear" w:color="000000" w:fill="DBDBDB"/>
            <w:vAlign w:val="bottom"/>
            <w:hideMark/>
          </w:tcPr>
          <w:p w14:paraId="75A785C1"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0.14 </w:t>
            </w:r>
          </w:p>
        </w:tc>
        <w:tc>
          <w:tcPr>
            <w:tcW w:w="2521" w:type="dxa"/>
            <w:tcBorders>
              <w:top w:val="nil"/>
              <w:left w:val="nil"/>
              <w:bottom w:val="single" w:sz="4" w:space="0" w:color="auto"/>
              <w:right w:val="single" w:sz="4" w:space="0" w:color="auto"/>
            </w:tcBorders>
            <w:shd w:val="clear" w:color="000000" w:fill="DBDBDB"/>
            <w:vAlign w:val="bottom"/>
            <w:hideMark/>
          </w:tcPr>
          <w:p w14:paraId="36C32677"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0.70 </w:t>
            </w:r>
          </w:p>
        </w:tc>
        <w:tc>
          <w:tcPr>
            <w:tcW w:w="2956" w:type="dxa"/>
            <w:tcBorders>
              <w:top w:val="nil"/>
              <w:left w:val="nil"/>
              <w:bottom w:val="single" w:sz="4" w:space="0" w:color="auto"/>
              <w:right w:val="single" w:sz="4" w:space="0" w:color="auto"/>
            </w:tcBorders>
            <w:shd w:val="clear" w:color="000000" w:fill="DBDBDB"/>
            <w:vAlign w:val="bottom"/>
            <w:hideMark/>
          </w:tcPr>
          <w:p w14:paraId="77A765B0"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1.24 </w:t>
            </w:r>
          </w:p>
        </w:tc>
      </w:tr>
      <w:tr w:rsidR="000B16D4" w:rsidRPr="000B16D4" w14:paraId="3D1FAF2F" w14:textId="77777777" w:rsidTr="000B16D4">
        <w:trPr>
          <w:trHeight w:val="610"/>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3448FC45"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44-3</w:t>
            </w:r>
          </w:p>
        </w:tc>
        <w:tc>
          <w:tcPr>
            <w:tcW w:w="1513" w:type="dxa"/>
            <w:tcBorders>
              <w:top w:val="nil"/>
              <w:left w:val="nil"/>
              <w:bottom w:val="single" w:sz="4" w:space="0" w:color="auto"/>
              <w:right w:val="single" w:sz="4" w:space="0" w:color="auto"/>
            </w:tcBorders>
            <w:shd w:val="clear" w:color="auto" w:fill="auto"/>
            <w:vAlign w:val="center"/>
            <w:hideMark/>
          </w:tcPr>
          <w:p w14:paraId="6F02BD81" w14:textId="77777777" w:rsidR="000B16D4" w:rsidRPr="000B16D4" w:rsidRDefault="000B16D4" w:rsidP="000B16D4">
            <w:pPr>
              <w:spacing w:after="0" w:line="240" w:lineRule="auto"/>
              <w:rPr>
                <w:rFonts w:ascii="Calibri" w:eastAsia="Times New Roman" w:hAnsi="Calibri" w:cs="Calibri"/>
                <w:lang w:eastAsia="en-GB"/>
              </w:rPr>
            </w:pPr>
            <w:r w:rsidRPr="000B16D4">
              <w:rPr>
                <w:rFonts w:ascii="Calibri" w:eastAsia="Times New Roman" w:hAnsi="Calibri" w:cs="Calibri"/>
                <w:lang w:eastAsia="en-GB"/>
              </w:rPr>
              <w:t>Alternative measure 2</w:t>
            </w:r>
          </w:p>
        </w:tc>
        <w:tc>
          <w:tcPr>
            <w:tcW w:w="2680" w:type="dxa"/>
            <w:tcBorders>
              <w:top w:val="nil"/>
              <w:left w:val="nil"/>
              <w:bottom w:val="single" w:sz="4" w:space="0" w:color="auto"/>
              <w:right w:val="single" w:sz="4" w:space="0" w:color="auto"/>
            </w:tcBorders>
            <w:shd w:val="clear" w:color="000000" w:fill="DBDBDB"/>
            <w:vAlign w:val="center"/>
            <w:hideMark/>
          </w:tcPr>
          <w:p w14:paraId="572CE0EB"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Financing Schemes and instruments and fiscal incentives</w:t>
            </w:r>
          </w:p>
        </w:tc>
        <w:tc>
          <w:tcPr>
            <w:tcW w:w="2521" w:type="dxa"/>
            <w:tcBorders>
              <w:top w:val="nil"/>
              <w:left w:val="nil"/>
              <w:bottom w:val="single" w:sz="4" w:space="0" w:color="auto"/>
              <w:right w:val="single" w:sz="4" w:space="0" w:color="auto"/>
            </w:tcBorders>
            <w:shd w:val="clear" w:color="000000" w:fill="DBDBDB"/>
            <w:vAlign w:val="bottom"/>
            <w:hideMark/>
          </w:tcPr>
          <w:p w14:paraId="6FBD764D"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7.03 </w:t>
            </w:r>
          </w:p>
        </w:tc>
        <w:tc>
          <w:tcPr>
            <w:tcW w:w="2521" w:type="dxa"/>
            <w:tcBorders>
              <w:top w:val="nil"/>
              <w:left w:val="nil"/>
              <w:bottom w:val="single" w:sz="4" w:space="0" w:color="auto"/>
              <w:right w:val="single" w:sz="4" w:space="0" w:color="auto"/>
            </w:tcBorders>
            <w:shd w:val="clear" w:color="000000" w:fill="DBDBDB"/>
            <w:vAlign w:val="bottom"/>
            <w:hideMark/>
          </w:tcPr>
          <w:p w14:paraId="52706D7E"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12.22 </w:t>
            </w:r>
          </w:p>
        </w:tc>
        <w:tc>
          <w:tcPr>
            <w:tcW w:w="2956" w:type="dxa"/>
            <w:tcBorders>
              <w:top w:val="nil"/>
              <w:left w:val="nil"/>
              <w:bottom w:val="single" w:sz="4" w:space="0" w:color="auto"/>
              <w:right w:val="single" w:sz="4" w:space="0" w:color="auto"/>
            </w:tcBorders>
            <w:shd w:val="clear" w:color="000000" w:fill="DBDBDB"/>
            <w:vAlign w:val="bottom"/>
            <w:hideMark/>
          </w:tcPr>
          <w:p w14:paraId="3E256EFD"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19.82 </w:t>
            </w:r>
          </w:p>
        </w:tc>
      </w:tr>
      <w:tr w:rsidR="000B16D4" w:rsidRPr="000B16D4" w14:paraId="703A6BFF" w14:textId="77777777" w:rsidTr="000B16D4">
        <w:trPr>
          <w:trHeight w:val="610"/>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3907EA9"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44-3</w:t>
            </w:r>
          </w:p>
        </w:tc>
        <w:tc>
          <w:tcPr>
            <w:tcW w:w="1513" w:type="dxa"/>
            <w:tcBorders>
              <w:top w:val="nil"/>
              <w:left w:val="nil"/>
              <w:bottom w:val="single" w:sz="4" w:space="0" w:color="auto"/>
              <w:right w:val="single" w:sz="4" w:space="0" w:color="auto"/>
            </w:tcBorders>
            <w:shd w:val="clear" w:color="auto" w:fill="auto"/>
            <w:vAlign w:val="center"/>
            <w:hideMark/>
          </w:tcPr>
          <w:p w14:paraId="5957D20A" w14:textId="77777777" w:rsidR="000B16D4" w:rsidRPr="000B16D4" w:rsidRDefault="000B16D4" w:rsidP="000B16D4">
            <w:pPr>
              <w:spacing w:after="0" w:line="240" w:lineRule="auto"/>
              <w:rPr>
                <w:rFonts w:ascii="Calibri" w:eastAsia="Times New Roman" w:hAnsi="Calibri" w:cs="Calibri"/>
                <w:lang w:eastAsia="en-GB"/>
              </w:rPr>
            </w:pPr>
            <w:r w:rsidRPr="000B16D4">
              <w:rPr>
                <w:rFonts w:ascii="Calibri" w:eastAsia="Times New Roman" w:hAnsi="Calibri" w:cs="Calibri"/>
                <w:lang w:eastAsia="en-GB"/>
              </w:rPr>
              <w:t>Alternative measure 2</w:t>
            </w:r>
          </w:p>
        </w:tc>
        <w:tc>
          <w:tcPr>
            <w:tcW w:w="2680" w:type="dxa"/>
            <w:tcBorders>
              <w:top w:val="nil"/>
              <w:left w:val="nil"/>
              <w:bottom w:val="single" w:sz="4" w:space="0" w:color="auto"/>
              <w:right w:val="single" w:sz="4" w:space="0" w:color="auto"/>
            </w:tcBorders>
            <w:shd w:val="clear" w:color="000000" w:fill="DBDBDB"/>
            <w:vAlign w:val="center"/>
            <w:hideMark/>
          </w:tcPr>
          <w:p w14:paraId="1921AFC3"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Regulations and Voluntary Agreements</w:t>
            </w:r>
          </w:p>
        </w:tc>
        <w:tc>
          <w:tcPr>
            <w:tcW w:w="2521" w:type="dxa"/>
            <w:tcBorders>
              <w:top w:val="nil"/>
              <w:left w:val="nil"/>
              <w:bottom w:val="single" w:sz="4" w:space="0" w:color="auto"/>
              <w:right w:val="single" w:sz="4" w:space="0" w:color="auto"/>
            </w:tcBorders>
            <w:shd w:val="clear" w:color="000000" w:fill="DBDBDB"/>
            <w:vAlign w:val="bottom"/>
            <w:hideMark/>
          </w:tcPr>
          <w:p w14:paraId="3C60956C"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2.13 </w:t>
            </w:r>
          </w:p>
        </w:tc>
        <w:tc>
          <w:tcPr>
            <w:tcW w:w="2521" w:type="dxa"/>
            <w:tcBorders>
              <w:top w:val="nil"/>
              <w:left w:val="nil"/>
              <w:bottom w:val="single" w:sz="4" w:space="0" w:color="auto"/>
              <w:right w:val="single" w:sz="4" w:space="0" w:color="auto"/>
            </w:tcBorders>
            <w:shd w:val="clear" w:color="000000" w:fill="DBDBDB"/>
            <w:vAlign w:val="bottom"/>
            <w:hideMark/>
          </w:tcPr>
          <w:p w14:paraId="605111F2"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4.73 </w:t>
            </w:r>
          </w:p>
        </w:tc>
        <w:tc>
          <w:tcPr>
            <w:tcW w:w="2956" w:type="dxa"/>
            <w:tcBorders>
              <w:top w:val="nil"/>
              <w:left w:val="nil"/>
              <w:bottom w:val="single" w:sz="4" w:space="0" w:color="auto"/>
              <w:right w:val="single" w:sz="4" w:space="0" w:color="auto"/>
            </w:tcBorders>
            <w:shd w:val="clear" w:color="000000" w:fill="DBDBDB"/>
            <w:vAlign w:val="bottom"/>
            <w:hideMark/>
          </w:tcPr>
          <w:p w14:paraId="212A5638" w14:textId="77777777" w:rsidR="000B16D4" w:rsidRPr="000B16D4" w:rsidRDefault="000B16D4" w:rsidP="000B16D4">
            <w:pPr>
              <w:spacing w:after="0" w:line="240" w:lineRule="auto"/>
              <w:jc w:val="center"/>
              <w:rPr>
                <w:rFonts w:ascii="Calibri" w:eastAsia="Times New Roman" w:hAnsi="Calibri" w:cs="Calibri"/>
                <w:lang w:eastAsia="en-GB"/>
              </w:rPr>
            </w:pPr>
            <w:r w:rsidRPr="000B16D4">
              <w:rPr>
                <w:rFonts w:ascii="Calibri" w:eastAsia="Times New Roman" w:hAnsi="Calibri" w:cs="Calibri"/>
                <w:lang w:eastAsia="en-GB"/>
              </w:rPr>
              <w:t xml:space="preserve">8.77 </w:t>
            </w:r>
          </w:p>
        </w:tc>
      </w:tr>
      <w:tr w:rsidR="000B16D4" w:rsidRPr="000B16D4" w14:paraId="6367E693" w14:textId="77777777" w:rsidTr="000B16D4">
        <w:trPr>
          <w:trHeight w:val="305"/>
        </w:trPr>
        <w:tc>
          <w:tcPr>
            <w:tcW w:w="850" w:type="dxa"/>
            <w:tcBorders>
              <w:top w:val="nil"/>
              <w:left w:val="nil"/>
              <w:bottom w:val="nil"/>
              <w:right w:val="nil"/>
            </w:tcBorders>
            <w:shd w:val="clear" w:color="auto" w:fill="auto"/>
            <w:noWrap/>
            <w:vAlign w:val="bottom"/>
            <w:hideMark/>
          </w:tcPr>
          <w:p w14:paraId="0C4E04AF" w14:textId="77777777" w:rsidR="000B16D4" w:rsidRPr="000B16D4" w:rsidRDefault="000B16D4" w:rsidP="000B16D4">
            <w:pPr>
              <w:spacing w:after="0" w:line="240" w:lineRule="auto"/>
              <w:jc w:val="center"/>
              <w:rPr>
                <w:rFonts w:ascii="Calibri" w:eastAsia="Times New Roman" w:hAnsi="Calibri" w:cs="Calibri"/>
                <w:lang w:eastAsia="en-GB"/>
              </w:rPr>
            </w:pPr>
          </w:p>
        </w:tc>
        <w:tc>
          <w:tcPr>
            <w:tcW w:w="1513" w:type="dxa"/>
            <w:tcBorders>
              <w:top w:val="nil"/>
              <w:left w:val="nil"/>
              <w:bottom w:val="nil"/>
              <w:right w:val="nil"/>
            </w:tcBorders>
            <w:shd w:val="clear" w:color="auto" w:fill="auto"/>
            <w:noWrap/>
            <w:vAlign w:val="bottom"/>
            <w:hideMark/>
          </w:tcPr>
          <w:p w14:paraId="2816688B" w14:textId="77777777" w:rsidR="000B16D4" w:rsidRPr="000B16D4" w:rsidRDefault="000B16D4" w:rsidP="000B16D4">
            <w:pPr>
              <w:spacing w:after="0" w:line="240" w:lineRule="auto"/>
              <w:rPr>
                <w:rFonts w:ascii="Times New Roman" w:eastAsia="Times New Roman" w:hAnsi="Times New Roman" w:cs="Times New Roman"/>
                <w:sz w:val="20"/>
                <w:szCs w:val="20"/>
                <w:lang w:eastAsia="en-GB"/>
              </w:rPr>
            </w:pPr>
          </w:p>
        </w:tc>
        <w:tc>
          <w:tcPr>
            <w:tcW w:w="2680" w:type="dxa"/>
            <w:tcBorders>
              <w:top w:val="nil"/>
              <w:left w:val="single" w:sz="4" w:space="0" w:color="auto"/>
              <w:bottom w:val="single" w:sz="4" w:space="0" w:color="auto"/>
              <w:right w:val="single" w:sz="4" w:space="0" w:color="auto"/>
            </w:tcBorders>
            <w:shd w:val="clear" w:color="000000" w:fill="DBDBDB"/>
            <w:vAlign w:val="center"/>
            <w:hideMark/>
          </w:tcPr>
          <w:p w14:paraId="7EB57475" w14:textId="77777777" w:rsidR="000B16D4" w:rsidRPr="000B16D4" w:rsidRDefault="000B16D4" w:rsidP="000B16D4">
            <w:pPr>
              <w:spacing w:after="0" w:line="240" w:lineRule="auto"/>
              <w:jc w:val="right"/>
              <w:rPr>
                <w:rFonts w:ascii="Calibri" w:eastAsia="Times New Roman" w:hAnsi="Calibri" w:cs="Calibri"/>
                <w:b/>
                <w:bCs/>
                <w:lang w:eastAsia="en-GB"/>
              </w:rPr>
            </w:pPr>
            <w:r w:rsidRPr="000B16D4">
              <w:rPr>
                <w:rFonts w:ascii="Calibri" w:eastAsia="Times New Roman" w:hAnsi="Calibri" w:cs="Calibri"/>
                <w:b/>
                <w:bCs/>
                <w:lang w:eastAsia="en-GB"/>
              </w:rPr>
              <w:t>Total</w:t>
            </w:r>
          </w:p>
        </w:tc>
        <w:tc>
          <w:tcPr>
            <w:tcW w:w="2521" w:type="dxa"/>
            <w:tcBorders>
              <w:top w:val="nil"/>
              <w:left w:val="nil"/>
              <w:bottom w:val="single" w:sz="4" w:space="0" w:color="auto"/>
              <w:right w:val="single" w:sz="4" w:space="0" w:color="auto"/>
            </w:tcBorders>
            <w:shd w:val="clear" w:color="000000" w:fill="DBDBDB"/>
            <w:vAlign w:val="center"/>
            <w:hideMark/>
          </w:tcPr>
          <w:p w14:paraId="1241B626" w14:textId="77777777" w:rsidR="000B16D4" w:rsidRPr="000B16D4" w:rsidRDefault="000B16D4" w:rsidP="000B16D4">
            <w:pPr>
              <w:spacing w:after="0" w:line="240" w:lineRule="auto"/>
              <w:jc w:val="center"/>
              <w:rPr>
                <w:rFonts w:ascii="Calibri" w:eastAsia="Times New Roman" w:hAnsi="Calibri" w:cs="Calibri"/>
                <w:b/>
                <w:bCs/>
                <w:lang w:eastAsia="en-GB"/>
              </w:rPr>
            </w:pPr>
            <w:r w:rsidRPr="000B16D4">
              <w:rPr>
                <w:rFonts w:ascii="Calibri" w:eastAsia="Times New Roman" w:hAnsi="Calibri" w:cs="Calibri"/>
                <w:b/>
                <w:bCs/>
                <w:lang w:eastAsia="en-GB"/>
              </w:rPr>
              <w:t xml:space="preserve">10.86 </w:t>
            </w:r>
          </w:p>
        </w:tc>
        <w:tc>
          <w:tcPr>
            <w:tcW w:w="2521" w:type="dxa"/>
            <w:tcBorders>
              <w:top w:val="nil"/>
              <w:left w:val="nil"/>
              <w:bottom w:val="single" w:sz="4" w:space="0" w:color="auto"/>
              <w:right w:val="single" w:sz="4" w:space="0" w:color="auto"/>
            </w:tcBorders>
            <w:shd w:val="clear" w:color="000000" w:fill="DBDBDB"/>
            <w:vAlign w:val="center"/>
            <w:hideMark/>
          </w:tcPr>
          <w:p w14:paraId="7DF59D34" w14:textId="77777777" w:rsidR="000B16D4" w:rsidRPr="000B16D4" w:rsidRDefault="000B16D4" w:rsidP="000B16D4">
            <w:pPr>
              <w:spacing w:after="0" w:line="240" w:lineRule="auto"/>
              <w:jc w:val="center"/>
              <w:rPr>
                <w:rFonts w:ascii="Calibri" w:eastAsia="Times New Roman" w:hAnsi="Calibri" w:cs="Calibri"/>
                <w:b/>
                <w:bCs/>
                <w:lang w:eastAsia="en-GB"/>
              </w:rPr>
            </w:pPr>
            <w:r w:rsidRPr="000B16D4">
              <w:rPr>
                <w:rFonts w:ascii="Calibri" w:eastAsia="Times New Roman" w:hAnsi="Calibri" w:cs="Calibri"/>
                <w:b/>
                <w:bCs/>
                <w:lang w:eastAsia="en-GB"/>
              </w:rPr>
              <w:t xml:space="preserve">19.56 </w:t>
            </w:r>
          </w:p>
        </w:tc>
        <w:tc>
          <w:tcPr>
            <w:tcW w:w="2956" w:type="dxa"/>
            <w:tcBorders>
              <w:top w:val="nil"/>
              <w:left w:val="nil"/>
              <w:bottom w:val="single" w:sz="4" w:space="0" w:color="auto"/>
              <w:right w:val="single" w:sz="4" w:space="0" w:color="auto"/>
            </w:tcBorders>
            <w:shd w:val="clear" w:color="000000" w:fill="DBDBDB"/>
            <w:vAlign w:val="center"/>
            <w:hideMark/>
          </w:tcPr>
          <w:p w14:paraId="529CC615" w14:textId="77777777" w:rsidR="000B16D4" w:rsidRPr="000B16D4" w:rsidRDefault="000B16D4" w:rsidP="000B16D4">
            <w:pPr>
              <w:spacing w:after="0" w:line="240" w:lineRule="auto"/>
              <w:jc w:val="center"/>
              <w:rPr>
                <w:rFonts w:ascii="Calibri" w:eastAsia="Times New Roman" w:hAnsi="Calibri" w:cs="Calibri"/>
                <w:b/>
                <w:bCs/>
                <w:lang w:eastAsia="en-GB"/>
              </w:rPr>
            </w:pPr>
            <w:r w:rsidRPr="000B16D4">
              <w:rPr>
                <w:rFonts w:ascii="Calibri" w:eastAsia="Times New Roman" w:hAnsi="Calibri" w:cs="Calibri"/>
                <w:b/>
                <w:bCs/>
                <w:lang w:eastAsia="en-GB"/>
              </w:rPr>
              <w:t xml:space="preserve">32.14 </w:t>
            </w:r>
          </w:p>
        </w:tc>
      </w:tr>
    </w:tbl>
    <w:p w14:paraId="4A2A54AA" w14:textId="76CD763F" w:rsidR="009548FF" w:rsidRDefault="009548FF" w:rsidP="00C25453">
      <w:pPr>
        <w:autoSpaceDE w:val="0"/>
        <w:autoSpaceDN w:val="0"/>
        <w:adjustRightInd w:val="0"/>
        <w:spacing w:after="0" w:line="240" w:lineRule="auto"/>
        <w:jc w:val="both"/>
        <w:rPr>
          <w:rFonts w:ascii="Calibri" w:hAnsi="Calibri" w:cs="Calibri"/>
          <w:b/>
          <w:bCs/>
          <w:sz w:val="24"/>
          <w:szCs w:val="24"/>
        </w:rPr>
      </w:pPr>
    </w:p>
    <w:sectPr w:rsidR="009548FF" w:rsidSect="00454503">
      <w:footerReference w:type="default" r:id="rId9"/>
      <w:pgSz w:w="16838" w:h="11906" w:orient="landscape"/>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02AFE" w14:textId="77777777" w:rsidR="00437A73" w:rsidRDefault="00437A73" w:rsidP="000D3C45">
      <w:pPr>
        <w:spacing w:after="0" w:line="240" w:lineRule="auto"/>
      </w:pPr>
      <w:r>
        <w:separator/>
      </w:r>
    </w:p>
  </w:endnote>
  <w:endnote w:type="continuationSeparator" w:id="0">
    <w:p w14:paraId="3DFC4C7D" w14:textId="77777777" w:rsidR="00437A73" w:rsidRDefault="00437A73" w:rsidP="000D3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888721"/>
      <w:docPartObj>
        <w:docPartGallery w:val="Page Numbers (Bottom of Page)"/>
        <w:docPartUnique/>
      </w:docPartObj>
    </w:sdtPr>
    <w:sdtEndPr/>
    <w:sdtContent>
      <w:p w14:paraId="73B157DF" w14:textId="195FA728" w:rsidR="00922A9D" w:rsidRDefault="00922A9D">
        <w:pPr>
          <w:pStyle w:val="Footer"/>
          <w:jc w:val="center"/>
        </w:pPr>
        <w:r>
          <w:fldChar w:fldCharType="begin"/>
        </w:r>
        <w:r>
          <w:instrText xml:space="preserve"> PAGE   \* MERGEFORMAT </w:instrText>
        </w:r>
        <w:r>
          <w:fldChar w:fldCharType="separate"/>
        </w:r>
        <w:r>
          <w:rPr>
            <w:noProof/>
          </w:rPr>
          <w:t>14</w:t>
        </w:r>
        <w:r>
          <w:rPr>
            <w:noProof/>
          </w:rPr>
          <w:fldChar w:fldCharType="end"/>
        </w:r>
      </w:p>
    </w:sdtContent>
  </w:sdt>
  <w:p w14:paraId="7584F820" w14:textId="77777777" w:rsidR="00922A9D" w:rsidRDefault="00922A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1AD40" w14:textId="77777777" w:rsidR="00437A73" w:rsidRDefault="00437A73" w:rsidP="000D3C45">
      <w:pPr>
        <w:spacing w:after="0" w:line="240" w:lineRule="auto"/>
      </w:pPr>
      <w:r>
        <w:separator/>
      </w:r>
    </w:p>
  </w:footnote>
  <w:footnote w:type="continuationSeparator" w:id="0">
    <w:p w14:paraId="61787A0E" w14:textId="77777777" w:rsidR="00437A73" w:rsidRDefault="00437A73" w:rsidP="000D3C45">
      <w:pPr>
        <w:spacing w:after="0" w:line="240" w:lineRule="auto"/>
      </w:pPr>
      <w:r>
        <w:continuationSeparator/>
      </w:r>
    </w:p>
  </w:footnote>
  <w:footnote w:id="1">
    <w:p w14:paraId="58ADE327" w14:textId="77777777" w:rsidR="00922A9D" w:rsidRDefault="00922A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73BD1"/>
    <w:multiLevelType w:val="hybridMultilevel"/>
    <w:tmpl w:val="0F883108"/>
    <w:lvl w:ilvl="0" w:tplc="7B88B320">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A85F47"/>
    <w:multiLevelType w:val="hybridMultilevel"/>
    <w:tmpl w:val="0C36AD66"/>
    <w:lvl w:ilvl="0" w:tplc="4B08FC4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F85FB2"/>
    <w:multiLevelType w:val="hybridMultilevel"/>
    <w:tmpl w:val="C180FB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0C5331"/>
    <w:multiLevelType w:val="hybridMultilevel"/>
    <w:tmpl w:val="638088D8"/>
    <w:lvl w:ilvl="0" w:tplc="EC1801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1384FC3"/>
    <w:multiLevelType w:val="hybridMultilevel"/>
    <w:tmpl w:val="31087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D33E15"/>
    <w:multiLevelType w:val="hybridMultilevel"/>
    <w:tmpl w:val="53846E10"/>
    <w:lvl w:ilvl="0" w:tplc="1D04636A">
      <w:start w:val="3"/>
      <w:numFmt w:val="bullet"/>
      <w:lvlText w:val="-"/>
      <w:lvlJc w:val="left"/>
      <w:pPr>
        <w:ind w:left="720" w:hanging="360"/>
      </w:pPr>
      <w:rPr>
        <w:rFonts w:ascii="Times New Roman" w:eastAsiaTheme="minorHAnsi"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177B14"/>
    <w:multiLevelType w:val="hybridMultilevel"/>
    <w:tmpl w:val="19926B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BA6E9E"/>
    <w:multiLevelType w:val="hybridMultilevel"/>
    <w:tmpl w:val="32BCA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6A08A9"/>
    <w:multiLevelType w:val="hybridMultilevel"/>
    <w:tmpl w:val="BAC0E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D67F92"/>
    <w:multiLevelType w:val="hybridMultilevel"/>
    <w:tmpl w:val="01764C6A"/>
    <w:lvl w:ilvl="0" w:tplc="47145E9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C734B5"/>
    <w:multiLevelType w:val="hybridMultilevel"/>
    <w:tmpl w:val="ACE68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D03B1A"/>
    <w:multiLevelType w:val="hybridMultilevel"/>
    <w:tmpl w:val="0F883108"/>
    <w:lvl w:ilvl="0" w:tplc="7B88B320">
      <w:start w:val="1"/>
      <w:numFmt w:val="lowerLetter"/>
      <w:lvlText w:val="(%1)"/>
      <w:lvlJc w:val="left"/>
      <w:pPr>
        <w:ind w:left="502"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EC119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8B826B2"/>
    <w:multiLevelType w:val="hybridMultilevel"/>
    <w:tmpl w:val="0518D320"/>
    <w:lvl w:ilvl="0" w:tplc="72661794">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210488"/>
    <w:multiLevelType w:val="hybridMultilevel"/>
    <w:tmpl w:val="2912E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AF1700"/>
    <w:multiLevelType w:val="hybridMultilevel"/>
    <w:tmpl w:val="43A0B3FA"/>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6" w15:restartNumberingAfterBreak="0">
    <w:nsid w:val="52FA0A4B"/>
    <w:multiLevelType w:val="hybridMultilevel"/>
    <w:tmpl w:val="0C768B94"/>
    <w:lvl w:ilvl="0" w:tplc="47145E9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982FAC"/>
    <w:multiLevelType w:val="hybridMultilevel"/>
    <w:tmpl w:val="C80AC2C6"/>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E56CFC"/>
    <w:multiLevelType w:val="hybridMultilevel"/>
    <w:tmpl w:val="94841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DD1DCC"/>
    <w:multiLevelType w:val="hybridMultilevel"/>
    <w:tmpl w:val="9E7C7996"/>
    <w:lvl w:ilvl="0" w:tplc="EC180140">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1C6D99"/>
    <w:multiLevelType w:val="hybridMultilevel"/>
    <w:tmpl w:val="A9FA63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FF5D29"/>
    <w:multiLevelType w:val="hybridMultilevel"/>
    <w:tmpl w:val="35A0AC9E"/>
    <w:lvl w:ilvl="0" w:tplc="4A145102">
      <w:numFmt w:val="bullet"/>
      <w:lvlText w:val="-"/>
      <w:lvlJc w:val="left"/>
      <w:pPr>
        <w:ind w:left="720" w:hanging="360"/>
      </w:pPr>
      <w:rPr>
        <w:rFonts w:ascii="Times New Roman" w:eastAsiaTheme="minorHAns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8056F8"/>
    <w:multiLevelType w:val="hybridMultilevel"/>
    <w:tmpl w:val="6728DD7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7AA55E3E"/>
    <w:multiLevelType w:val="hybridMultilevel"/>
    <w:tmpl w:val="7A1297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BE17FE"/>
    <w:multiLevelType w:val="hybridMultilevel"/>
    <w:tmpl w:val="9BF23D7E"/>
    <w:lvl w:ilvl="0" w:tplc="7884044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B942BBD"/>
    <w:multiLevelType w:val="hybridMultilevel"/>
    <w:tmpl w:val="FE628B84"/>
    <w:lvl w:ilvl="0" w:tplc="C2826A26">
      <w:start w:val="1"/>
      <w:numFmt w:val="lowerLetter"/>
      <w:lvlText w:val="%1."/>
      <w:lvlJc w:val="left"/>
      <w:pPr>
        <w:ind w:left="720" w:hanging="360"/>
      </w:pPr>
      <w:rPr>
        <w:rFonts w:asciiTheme="minorHAnsi" w:eastAsiaTheme="minorHAnsi" w:hAnsiTheme="minorHAnsi" w:cstheme="minorHAnsi"/>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6" w15:restartNumberingAfterBreak="0">
    <w:nsid w:val="7DB01F27"/>
    <w:multiLevelType w:val="hybridMultilevel"/>
    <w:tmpl w:val="E05CB8BE"/>
    <w:lvl w:ilvl="0" w:tplc="E9969C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3"/>
  </w:num>
  <w:num w:numId="3">
    <w:abstractNumId w:val="19"/>
  </w:num>
  <w:num w:numId="4">
    <w:abstractNumId w:val="2"/>
  </w:num>
  <w:num w:numId="5">
    <w:abstractNumId w:val="23"/>
  </w:num>
  <w:num w:numId="6">
    <w:abstractNumId w:val="1"/>
  </w:num>
  <w:num w:numId="7">
    <w:abstractNumId w:val="0"/>
  </w:num>
  <w:num w:numId="8">
    <w:abstractNumId w:val="11"/>
  </w:num>
  <w:num w:numId="9">
    <w:abstractNumId w:val="22"/>
  </w:num>
  <w:num w:numId="10">
    <w:abstractNumId w:val="21"/>
  </w:num>
  <w:num w:numId="11">
    <w:abstractNumId w:val="2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8"/>
  </w:num>
  <w:num w:numId="15">
    <w:abstractNumId w:val="4"/>
  </w:num>
  <w:num w:numId="16">
    <w:abstractNumId w:val="9"/>
  </w:num>
  <w:num w:numId="17">
    <w:abstractNumId w:val="16"/>
  </w:num>
  <w:num w:numId="18">
    <w:abstractNumId w:val="20"/>
  </w:num>
  <w:num w:numId="19">
    <w:abstractNumId w:val="8"/>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3"/>
  </w:num>
  <w:num w:numId="24">
    <w:abstractNumId w:val="15"/>
  </w:num>
  <w:num w:numId="25">
    <w:abstractNumId w:val="14"/>
  </w:num>
  <w:num w:numId="26">
    <w:abstractNumId w:val="10"/>
  </w:num>
  <w:num w:numId="27">
    <w:abstractNumId w:val="7"/>
  </w:num>
  <w:num w:numId="28">
    <w:abstractNumId w:val="2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549"/>
    <w:rsid w:val="0000173B"/>
    <w:rsid w:val="0000269D"/>
    <w:rsid w:val="000106B1"/>
    <w:rsid w:val="000124AC"/>
    <w:rsid w:val="00014611"/>
    <w:rsid w:val="00016098"/>
    <w:rsid w:val="00024EC4"/>
    <w:rsid w:val="000273B3"/>
    <w:rsid w:val="00033388"/>
    <w:rsid w:val="00041C17"/>
    <w:rsid w:val="000539C2"/>
    <w:rsid w:val="000573EE"/>
    <w:rsid w:val="00062A95"/>
    <w:rsid w:val="00062EE0"/>
    <w:rsid w:val="00067434"/>
    <w:rsid w:val="000720D7"/>
    <w:rsid w:val="00073F5B"/>
    <w:rsid w:val="0007403F"/>
    <w:rsid w:val="00092D2C"/>
    <w:rsid w:val="00093DCF"/>
    <w:rsid w:val="000A3780"/>
    <w:rsid w:val="000B0C24"/>
    <w:rsid w:val="000B16D4"/>
    <w:rsid w:val="000B184D"/>
    <w:rsid w:val="000B30A0"/>
    <w:rsid w:val="000B750F"/>
    <w:rsid w:val="000C3D5F"/>
    <w:rsid w:val="000C5602"/>
    <w:rsid w:val="000C64E9"/>
    <w:rsid w:val="000D026E"/>
    <w:rsid w:val="000D3C45"/>
    <w:rsid w:val="000D4A2B"/>
    <w:rsid w:val="000D6587"/>
    <w:rsid w:val="000D6F4E"/>
    <w:rsid w:val="000D7791"/>
    <w:rsid w:val="000E58D4"/>
    <w:rsid w:val="000E7595"/>
    <w:rsid w:val="000F50BD"/>
    <w:rsid w:val="000F5BEB"/>
    <w:rsid w:val="00110CD4"/>
    <w:rsid w:val="00115F21"/>
    <w:rsid w:val="001172F3"/>
    <w:rsid w:val="00123B64"/>
    <w:rsid w:val="0012557F"/>
    <w:rsid w:val="001307B6"/>
    <w:rsid w:val="00131A7D"/>
    <w:rsid w:val="0013689B"/>
    <w:rsid w:val="00140E79"/>
    <w:rsid w:val="0016000E"/>
    <w:rsid w:val="00160242"/>
    <w:rsid w:val="0017244E"/>
    <w:rsid w:val="001842BA"/>
    <w:rsid w:val="0018739E"/>
    <w:rsid w:val="001A10B8"/>
    <w:rsid w:val="001A6FEC"/>
    <w:rsid w:val="001B40AD"/>
    <w:rsid w:val="001B5AC1"/>
    <w:rsid w:val="001C0CB8"/>
    <w:rsid w:val="001C1DBA"/>
    <w:rsid w:val="001C68F5"/>
    <w:rsid w:val="001C7D4D"/>
    <w:rsid w:val="001D46FF"/>
    <w:rsid w:val="001E7114"/>
    <w:rsid w:val="001F0479"/>
    <w:rsid w:val="001F13D0"/>
    <w:rsid w:val="001F79E8"/>
    <w:rsid w:val="0020634C"/>
    <w:rsid w:val="00213A94"/>
    <w:rsid w:val="0021746A"/>
    <w:rsid w:val="002204F0"/>
    <w:rsid w:val="00221E57"/>
    <w:rsid w:val="00223CDE"/>
    <w:rsid w:val="00225E6D"/>
    <w:rsid w:val="002334FA"/>
    <w:rsid w:val="002412EF"/>
    <w:rsid w:val="00242F95"/>
    <w:rsid w:val="00244526"/>
    <w:rsid w:val="002540DA"/>
    <w:rsid w:val="002727C7"/>
    <w:rsid w:val="0027338F"/>
    <w:rsid w:val="00277800"/>
    <w:rsid w:val="00280984"/>
    <w:rsid w:val="002813CB"/>
    <w:rsid w:val="0028147F"/>
    <w:rsid w:val="00284076"/>
    <w:rsid w:val="0028486E"/>
    <w:rsid w:val="00286018"/>
    <w:rsid w:val="002876D3"/>
    <w:rsid w:val="00287F00"/>
    <w:rsid w:val="0029087C"/>
    <w:rsid w:val="002916D7"/>
    <w:rsid w:val="002A0439"/>
    <w:rsid w:val="002A6765"/>
    <w:rsid w:val="002A794A"/>
    <w:rsid w:val="002B074A"/>
    <w:rsid w:val="002B2786"/>
    <w:rsid w:val="002B7A76"/>
    <w:rsid w:val="002C1101"/>
    <w:rsid w:val="002C3608"/>
    <w:rsid w:val="002D0ADF"/>
    <w:rsid w:val="002D19BF"/>
    <w:rsid w:val="002D3777"/>
    <w:rsid w:val="002D6880"/>
    <w:rsid w:val="002E14B0"/>
    <w:rsid w:val="002F2B11"/>
    <w:rsid w:val="002F2BC8"/>
    <w:rsid w:val="002F3F43"/>
    <w:rsid w:val="002F6679"/>
    <w:rsid w:val="003010B6"/>
    <w:rsid w:val="00302AE1"/>
    <w:rsid w:val="003122DE"/>
    <w:rsid w:val="003126ED"/>
    <w:rsid w:val="00313FD9"/>
    <w:rsid w:val="003204ED"/>
    <w:rsid w:val="00321BED"/>
    <w:rsid w:val="00321CD3"/>
    <w:rsid w:val="00334802"/>
    <w:rsid w:val="00334BA0"/>
    <w:rsid w:val="00341D6B"/>
    <w:rsid w:val="0035026D"/>
    <w:rsid w:val="003510FF"/>
    <w:rsid w:val="003611AE"/>
    <w:rsid w:val="00362A52"/>
    <w:rsid w:val="00362DF0"/>
    <w:rsid w:val="0036703B"/>
    <w:rsid w:val="00395188"/>
    <w:rsid w:val="003A2A99"/>
    <w:rsid w:val="003A35D2"/>
    <w:rsid w:val="003A42B3"/>
    <w:rsid w:val="003A592D"/>
    <w:rsid w:val="003A65FC"/>
    <w:rsid w:val="003B189F"/>
    <w:rsid w:val="003B3207"/>
    <w:rsid w:val="003B4156"/>
    <w:rsid w:val="003B4737"/>
    <w:rsid w:val="003C0020"/>
    <w:rsid w:val="003C0142"/>
    <w:rsid w:val="003C2549"/>
    <w:rsid w:val="003C5C22"/>
    <w:rsid w:val="003C5E84"/>
    <w:rsid w:val="003C7866"/>
    <w:rsid w:val="003D1157"/>
    <w:rsid w:val="003E303C"/>
    <w:rsid w:val="003E47CD"/>
    <w:rsid w:val="003F33A9"/>
    <w:rsid w:val="00400AD4"/>
    <w:rsid w:val="00403471"/>
    <w:rsid w:val="00406D38"/>
    <w:rsid w:val="00415E59"/>
    <w:rsid w:val="004210C8"/>
    <w:rsid w:val="0042625C"/>
    <w:rsid w:val="00430242"/>
    <w:rsid w:val="00432BD0"/>
    <w:rsid w:val="00433E88"/>
    <w:rsid w:val="004352DA"/>
    <w:rsid w:val="00436B63"/>
    <w:rsid w:val="00437498"/>
    <w:rsid w:val="00437A73"/>
    <w:rsid w:val="00437BAF"/>
    <w:rsid w:val="00442846"/>
    <w:rsid w:val="00444A0E"/>
    <w:rsid w:val="00452283"/>
    <w:rsid w:val="004524AE"/>
    <w:rsid w:val="00452616"/>
    <w:rsid w:val="00453CB6"/>
    <w:rsid w:val="00454503"/>
    <w:rsid w:val="00454E11"/>
    <w:rsid w:val="004550F8"/>
    <w:rsid w:val="00455DF6"/>
    <w:rsid w:val="00456719"/>
    <w:rsid w:val="00473D35"/>
    <w:rsid w:val="00480D7F"/>
    <w:rsid w:val="0048246E"/>
    <w:rsid w:val="0048448C"/>
    <w:rsid w:val="004952EB"/>
    <w:rsid w:val="00495654"/>
    <w:rsid w:val="00495AB6"/>
    <w:rsid w:val="004A2D21"/>
    <w:rsid w:val="004B0B8B"/>
    <w:rsid w:val="004B47D4"/>
    <w:rsid w:val="004B7880"/>
    <w:rsid w:val="004C26EE"/>
    <w:rsid w:val="004C4A23"/>
    <w:rsid w:val="004D25CF"/>
    <w:rsid w:val="004D577D"/>
    <w:rsid w:val="004D747A"/>
    <w:rsid w:val="004E0F89"/>
    <w:rsid w:val="004E3566"/>
    <w:rsid w:val="004E3ECC"/>
    <w:rsid w:val="004E5375"/>
    <w:rsid w:val="004E7CD7"/>
    <w:rsid w:val="004F1514"/>
    <w:rsid w:val="004F270A"/>
    <w:rsid w:val="00502EB0"/>
    <w:rsid w:val="0050497C"/>
    <w:rsid w:val="00506BAB"/>
    <w:rsid w:val="00512F63"/>
    <w:rsid w:val="00524121"/>
    <w:rsid w:val="0053002C"/>
    <w:rsid w:val="005315DF"/>
    <w:rsid w:val="0053189A"/>
    <w:rsid w:val="00532C30"/>
    <w:rsid w:val="0054275A"/>
    <w:rsid w:val="00546920"/>
    <w:rsid w:val="00552593"/>
    <w:rsid w:val="00556006"/>
    <w:rsid w:val="005572F4"/>
    <w:rsid w:val="00560770"/>
    <w:rsid w:val="00562358"/>
    <w:rsid w:val="005727B9"/>
    <w:rsid w:val="00580D11"/>
    <w:rsid w:val="005841FD"/>
    <w:rsid w:val="005843AC"/>
    <w:rsid w:val="005848B0"/>
    <w:rsid w:val="005850A8"/>
    <w:rsid w:val="00585D39"/>
    <w:rsid w:val="00586D1C"/>
    <w:rsid w:val="005912B7"/>
    <w:rsid w:val="005942A6"/>
    <w:rsid w:val="005A3B6C"/>
    <w:rsid w:val="005A5CFD"/>
    <w:rsid w:val="005A6EC6"/>
    <w:rsid w:val="005B2ABD"/>
    <w:rsid w:val="005B405E"/>
    <w:rsid w:val="005C00B0"/>
    <w:rsid w:val="005C0772"/>
    <w:rsid w:val="005C725A"/>
    <w:rsid w:val="005D0B04"/>
    <w:rsid w:val="005D3380"/>
    <w:rsid w:val="005D5942"/>
    <w:rsid w:val="005E7F6E"/>
    <w:rsid w:val="005F4600"/>
    <w:rsid w:val="005F5670"/>
    <w:rsid w:val="00604E21"/>
    <w:rsid w:val="00606079"/>
    <w:rsid w:val="006153DE"/>
    <w:rsid w:val="00615E10"/>
    <w:rsid w:val="00624F0D"/>
    <w:rsid w:val="0062564D"/>
    <w:rsid w:val="006275B6"/>
    <w:rsid w:val="0063159A"/>
    <w:rsid w:val="00635A8D"/>
    <w:rsid w:val="006448CB"/>
    <w:rsid w:val="0064496E"/>
    <w:rsid w:val="006479B0"/>
    <w:rsid w:val="00655375"/>
    <w:rsid w:val="00657C67"/>
    <w:rsid w:val="00660C9F"/>
    <w:rsid w:val="0066392E"/>
    <w:rsid w:val="00667562"/>
    <w:rsid w:val="00670904"/>
    <w:rsid w:val="0067516B"/>
    <w:rsid w:val="006860FB"/>
    <w:rsid w:val="00693F38"/>
    <w:rsid w:val="006946D3"/>
    <w:rsid w:val="00694BB6"/>
    <w:rsid w:val="00697929"/>
    <w:rsid w:val="006A1C8A"/>
    <w:rsid w:val="006A3371"/>
    <w:rsid w:val="006A347D"/>
    <w:rsid w:val="006A7141"/>
    <w:rsid w:val="006B4198"/>
    <w:rsid w:val="006B4AEC"/>
    <w:rsid w:val="006C3E39"/>
    <w:rsid w:val="006D0D12"/>
    <w:rsid w:val="006D69E5"/>
    <w:rsid w:val="006E42AB"/>
    <w:rsid w:val="00702EB0"/>
    <w:rsid w:val="007030C5"/>
    <w:rsid w:val="00705149"/>
    <w:rsid w:val="00725A94"/>
    <w:rsid w:val="00727AFD"/>
    <w:rsid w:val="0073393C"/>
    <w:rsid w:val="007431A4"/>
    <w:rsid w:val="0074513F"/>
    <w:rsid w:val="0075214D"/>
    <w:rsid w:val="00753A74"/>
    <w:rsid w:val="00754C53"/>
    <w:rsid w:val="007561F3"/>
    <w:rsid w:val="00772152"/>
    <w:rsid w:val="00772AEB"/>
    <w:rsid w:val="00775016"/>
    <w:rsid w:val="00775384"/>
    <w:rsid w:val="00785D11"/>
    <w:rsid w:val="0078707E"/>
    <w:rsid w:val="00791B10"/>
    <w:rsid w:val="007946E7"/>
    <w:rsid w:val="00794E7A"/>
    <w:rsid w:val="007A28A1"/>
    <w:rsid w:val="007A38C1"/>
    <w:rsid w:val="007B10D4"/>
    <w:rsid w:val="007B4022"/>
    <w:rsid w:val="007B484D"/>
    <w:rsid w:val="007C190C"/>
    <w:rsid w:val="007C2C66"/>
    <w:rsid w:val="007C2D58"/>
    <w:rsid w:val="007C4412"/>
    <w:rsid w:val="007D15C2"/>
    <w:rsid w:val="007D2AB6"/>
    <w:rsid w:val="007E79F0"/>
    <w:rsid w:val="007F2C3F"/>
    <w:rsid w:val="007F3777"/>
    <w:rsid w:val="007F5084"/>
    <w:rsid w:val="007F5ABA"/>
    <w:rsid w:val="007F70CA"/>
    <w:rsid w:val="007F71D5"/>
    <w:rsid w:val="00802B03"/>
    <w:rsid w:val="00805A8E"/>
    <w:rsid w:val="00811746"/>
    <w:rsid w:val="008126DD"/>
    <w:rsid w:val="00813D89"/>
    <w:rsid w:val="00813E50"/>
    <w:rsid w:val="0081630D"/>
    <w:rsid w:val="00820EC9"/>
    <w:rsid w:val="008221A8"/>
    <w:rsid w:val="00826010"/>
    <w:rsid w:val="00830EAE"/>
    <w:rsid w:val="008523B5"/>
    <w:rsid w:val="00855A2C"/>
    <w:rsid w:val="00856DC9"/>
    <w:rsid w:val="00862C1D"/>
    <w:rsid w:val="00865BA7"/>
    <w:rsid w:val="00870187"/>
    <w:rsid w:val="008710F5"/>
    <w:rsid w:val="008714D6"/>
    <w:rsid w:val="008805F4"/>
    <w:rsid w:val="008827CE"/>
    <w:rsid w:val="00885F45"/>
    <w:rsid w:val="00890094"/>
    <w:rsid w:val="00897A31"/>
    <w:rsid w:val="008A2B8F"/>
    <w:rsid w:val="008A5D90"/>
    <w:rsid w:val="008B7E01"/>
    <w:rsid w:val="008C5090"/>
    <w:rsid w:val="008C60BC"/>
    <w:rsid w:val="008C7727"/>
    <w:rsid w:val="008D1201"/>
    <w:rsid w:val="008D5ACD"/>
    <w:rsid w:val="008D719A"/>
    <w:rsid w:val="008D7DB0"/>
    <w:rsid w:val="008E47B0"/>
    <w:rsid w:val="008E585B"/>
    <w:rsid w:val="008E5BB1"/>
    <w:rsid w:val="008E7A9A"/>
    <w:rsid w:val="00900843"/>
    <w:rsid w:val="00904D78"/>
    <w:rsid w:val="00906FA9"/>
    <w:rsid w:val="00915BBF"/>
    <w:rsid w:val="00917ACE"/>
    <w:rsid w:val="00922A9D"/>
    <w:rsid w:val="00930607"/>
    <w:rsid w:val="0093118D"/>
    <w:rsid w:val="0093155E"/>
    <w:rsid w:val="0093369C"/>
    <w:rsid w:val="00935301"/>
    <w:rsid w:val="0094021E"/>
    <w:rsid w:val="0094066E"/>
    <w:rsid w:val="009428BC"/>
    <w:rsid w:val="00943031"/>
    <w:rsid w:val="00943971"/>
    <w:rsid w:val="00954128"/>
    <w:rsid w:val="00954662"/>
    <w:rsid w:val="009548FF"/>
    <w:rsid w:val="00955602"/>
    <w:rsid w:val="00957536"/>
    <w:rsid w:val="009615C8"/>
    <w:rsid w:val="009757CD"/>
    <w:rsid w:val="0098073A"/>
    <w:rsid w:val="009943EB"/>
    <w:rsid w:val="009970E5"/>
    <w:rsid w:val="009A01B2"/>
    <w:rsid w:val="009A16E4"/>
    <w:rsid w:val="009A2114"/>
    <w:rsid w:val="009A336A"/>
    <w:rsid w:val="009C14D7"/>
    <w:rsid w:val="009C28DC"/>
    <w:rsid w:val="009C4B37"/>
    <w:rsid w:val="009D6164"/>
    <w:rsid w:val="009E183A"/>
    <w:rsid w:val="009E6DDF"/>
    <w:rsid w:val="009E72AA"/>
    <w:rsid w:val="009E7ADD"/>
    <w:rsid w:val="009F2ABF"/>
    <w:rsid w:val="009F6787"/>
    <w:rsid w:val="009F6FB2"/>
    <w:rsid w:val="00A019FF"/>
    <w:rsid w:val="00A028A4"/>
    <w:rsid w:val="00A11530"/>
    <w:rsid w:val="00A148E2"/>
    <w:rsid w:val="00A1570A"/>
    <w:rsid w:val="00A201CA"/>
    <w:rsid w:val="00A206F1"/>
    <w:rsid w:val="00A23806"/>
    <w:rsid w:val="00A24136"/>
    <w:rsid w:val="00A24BC1"/>
    <w:rsid w:val="00A262A9"/>
    <w:rsid w:val="00A2745B"/>
    <w:rsid w:val="00A405FC"/>
    <w:rsid w:val="00A40DE5"/>
    <w:rsid w:val="00A41590"/>
    <w:rsid w:val="00A43B4E"/>
    <w:rsid w:val="00A45775"/>
    <w:rsid w:val="00A47258"/>
    <w:rsid w:val="00A50896"/>
    <w:rsid w:val="00A556E7"/>
    <w:rsid w:val="00A61001"/>
    <w:rsid w:val="00A66621"/>
    <w:rsid w:val="00A67077"/>
    <w:rsid w:val="00A67B27"/>
    <w:rsid w:val="00A73CEE"/>
    <w:rsid w:val="00A83EFE"/>
    <w:rsid w:val="00A902A0"/>
    <w:rsid w:val="00A91022"/>
    <w:rsid w:val="00A939DF"/>
    <w:rsid w:val="00A94A4D"/>
    <w:rsid w:val="00A97482"/>
    <w:rsid w:val="00AA6C47"/>
    <w:rsid w:val="00AA7E2D"/>
    <w:rsid w:val="00AB4780"/>
    <w:rsid w:val="00AD3D53"/>
    <w:rsid w:val="00AD3D85"/>
    <w:rsid w:val="00AE558F"/>
    <w:rsid w:val="00AF3449"/>
    <w:rsid w:val="00AF4380"/>
    <w:rsid w:val="00B0180D"/>
    <w:rsid w:val="00B16E7F"/>
    <w:rsid w:val="00B20F7A"/>
    <w:rsid w:val="00B31854"/>
    <w:rsid w:val="00B34D0D"/>
    <w:rsid w:val="00B35F7E"/>
    <w:rsid w:val="00B433C8"/>
    <w:rsid w:val="00B449F6"/>
    <w:rsid w:val="00B47EAA"/>
    <w:rsid w:val="00B47F6A"/>
    <w:rsid w:val="00B510FA"/>
    <w:rsid w:val="00B567EA"/>
    <w:rsid w:val="00B60318"/>
    <w:rsid w:val="00B65D50"/>
    <w:rsid w:val="00B65D94"/>
    <w:rsid w:val="00B66057"/>
    <w:rsid w:val="00B676F3"/>
    <w:rsid w:val="00B70EA8"/>
    <w:rsid w:val="00B71746"/>
    <w:rsid w:val="00B741FF"/>
    <w:rsid w:val="00B7535D"/>
    <w:rsid w:val="00B762A7"/>
    <w:rsid w:val="00B849F5"/>
    <w:rsid w:val="00B90BCA"/>
    <w:rsid w:val="00BA08CB"/>
    <w:rsid w:val="00BB33A8"/>
    <w:rsid w:val="00BC3375"/>
    <w:rsid w:val="00BC368C"/>
    <w:rsid w:val="00BC3E7D"/>
    <w:rsid w:val="00BC7573"/>
    <w:rsid w:val="00BC75F2"/>
    <w:rsid w:val="00BD1F29"/>
    <w:rsid w:val="00BE39A9"/>
    <w:rsid w:val="00BE4312"/>
    <w:rsid w:val="00BF5DD7"/>
    <w:rsid w:val="00C04934"/>
    <w:rsid w:val="00C05008"/>
    <w:rsid w:val="00C1572F"/>
    <w:rsid w:val="00C16051"/>
    <w:rsid w:val="00C179E7"/>
    <w:rsid w:val="00C2020A"/>
    <w:rsid w:val="00C20B53"/>
    <w:rsid w:val="00C214E4"/>
    <w:rsid w:val="00C21ED3"/>
    <w:rsid w:val="00C25453"/>
    <w:rsid w:val="00C437FA"/>
    <w:rsid w:val="00C450CA"/>
    <w:rsid w:val="00C50499"/>
    <w:rsid w:val="00C50F03"/>
    <w:rsid w:val="00C5255C"/>
    <w:rsid w:val="00C5433C"/>
    <w:rsid w:val="00C54E9F"/>
    <w:rsid w:val="00C563BD"/>
    <w:rsid w:val="00C6021E"/>
    <w:rsid w:val="00C61E96"/>
    <w:rsid w:val="00C67A2E"/>
    <w:rsid w:val="00C70075"/>
    <w:rsid w:val="00C70496"/>
    <w:rsid w:val="00C76B27"/>
    <w:rsid w:val="00C81F42"/>
    <w:rsid w:val="00C8309D"/>
    <w:rsid w:val="00C84799"/>
    <w:rsid w:val="00C847B8"/>
    <w:rsid w:val="00C84D60"/>
    <w:rsid w:val="00C93F54"/>
    <w:rsid w:val="00CA6B78"/>
    <w:rsid w:val="00CB4518"/>
    <w:rsid w:val="00CB4F0D"/>
    <w:rsid w:val="00CC00E1"/>
    <w:rsid w:val="00CC562F"/>
    <w:rsid w:val="00CD7410"/>
    <w:rsid w:val="00CE2897"/>
    <w:rsid w:val="00CE5C89"/>
    <w:rsid w:val="00CE7E8A"/>
    <w:rsid w:val="00CF1827"/>
    <w:rsid w:val="00CF23FE"/>
    <w:rsid w:val="00CF4048"/>
    <w:rsid w:val="00CF5AE9"/>
    <w:rsid w:val="00D026D6"/>
    <w:rsid w:val="00D16AB9"/>
    <w:rsid w:val="00D24019"/>
    <w:rsid w:val="00D340B4"/>
    <w:rsid w:val="00D4170A"/>
    <w:rsid w:val="00D47B12"/>
    <w:rsid w:val="00D5250F"/>
    <w:rsid w:val="00D54B06"/>
    <w:rsid w:val="00D649FF"/>
    <w:rsid w:val="00D6772D"/>
    <w:rsid w:val="00D72BE0"/>
    <w:rsid w:val="00D904C6"/>
    <w:rsid w:val="00D90CE4"/>
    <w:rsid w:val="00D91CC4"/>
    <w:rsid w:val="00D92B04"/>
    <w:rsid w:val="00D95D73"/>
    <w:rsid w:val="00D96A3E"/>
    <w:rsid w:val="00DA0FE8"/>
    <w:rsid w:val="00DB063B"/>
    <w:rsid w:val="00DC3270"/>
    <w:rsid w:val="00DC49F9"/>
    <w:rsid w:val="00DC7FCD"/>
    <w:rsid w:val="00DE2361"/>
    <w:rsid w:val="00DE51EC"/>
    <w:rsid w:val="00DF0800"/>
    <w:rsid w:val="00DF4E54"/>
    <w:rsid w:val="00DF5999"/>
    <w:rsid w:val="00DF6519"/>
    <w:rsid w:val="00DF752B"/>
    <w:rsid w:val="00E148BB"/>
    <w:rsid w:val="00E23A44"/>
    <w:rsid w:val="00E31472"/>
    <w:rsid w:val="00E318FC"/>
    <w:rsid w:val="00E33787"/>
    <w:rsid w:val="00E37191"/>
    <w:rsid w:val="00E5195E"/>
    <w:rsid w:val="00E63D41"/>
    <w:rsid w:val="00E64A98"/>
    <w:rsid w:val="00E70735"/>
    <w:rsid w:val="00E729AE"/>
    <w:rsid w:val="00E83513"/>
    <w:rsid w:val="00E83746"/>
    <w:rsid w:val="00E8491D"/>
    <w:rsid w:val="00E8599A"/>
    <w:rsid w:val="00E87685"/>
    <w:rsid w:val="00E878D3"/>
    <w:rsid w:val="00E908C9"/>
    <w:rsid w:val="00EA50C2"/>
    <w:rsid w:val="00EC1F3A"/>
    <w:rsid w:val="00EC4AE1"/>
    <w:rsid w:val="00EC604A"/>
    <w:rsid w:val="00EC789C"/>
    <w:rsid w:val="00ED0A50"/>
    <w:rsid w:val="00ED0E9D"/>
    <w:rsid w:val="00ED33D5"/>
    <w:rsid w:val="00ED3B4D"/>
    <w:rsid w:val="00ED3DF3"/>
    <w:rsid w:val="00ED6485"/>
    <w:rsid w:val="00EE0AEE"/>
    <w:rsid w:val="00EF01FA"/>
    <w:rsid w:val="00EF5B52"/>
    <w:rsid w:val="00F116A3"/>
    <w:rsid w:val="00F141C1"/>
    <w:rsid w:val="00F20CA2"/>
    <w:rsid w:val="00F23858"/>
    <w:rsid w:val="00F30F1F"/>
    <w:rsid w:val="00F32920"/>
    <w:rsid w:val="00F376AD"/>
    <w:rsid w:val="00F44093"/>
    <w:rsid w:val="00F459C0"/>
    <w:rsid w:val="00F55038"/>
    <w:rsid w:val="00F566AE"/>
    <w:rsid w:val="00F67A21"/>
    <w:rsid w:val="00F7311F"/>
    <w:rsid w:val="00F73920"/>
    <w:rsid w:val="00F95E29"/>
    <w:rsid w:val="00FA12E8"/>
    <w:rsid w:val="00FA3686"/>
    <w:rsid w:val="00FB65E2"/>
    <w:rsid w:val="00FC007D"/>
    <w:rsid w:val="00FD2797"/>
    <w:rsid w:val="00FD56D4"/>
    <w:rsid w:val="00FF6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07038"/>
  <w15:docId w15:val="{03A69D75-C300-455E-92FB-F891A84BD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77800"/>
  </w:style>
  <w:style w:type="paragraph" w:styleId="Heading1">
    <w:name w:val="heading 1"/>
    <w:basedOn w:val="Normal"/>
    <w:next w:val="Normal"/>
    <w:link w:val="Heading1Char"/>
    <w:uiPriority w:val="9"/>
    <w:qFormat/>
    <w:rsid w:val="00B34D0D"/>
    <w:pPr>
      <w:keepNext/>
      <w:keepLines/>
      <w:numPr>
        <w:numId w:val="13"/>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45775"/>
    <w:pPr>
      <w:keepNext/>
      <w:keepLines/>
      <w:numPr>
        <w:ilvl w:val="1"/>
        <w:numId w:val="13"/>
      </w:numPr>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45775"/>
    <w:pPr>
      <w:keepNext/>
      <w:keepLines/>
      <w:numPr>
        <w:ilvl w:val="2"/>
        <w:numId w:val="13"/>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A45775"/>
    <w:pPr>
      <w:keepNext/>
      <w:keepLines/>
      <w:numPr>
        <w:ilvl w:val="3"/>
        <w:numId w:val="13"/>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45775"/>
    <w:pPr>
      <w:keepNext/>
      <w:keepLines/>
      <w:numPr>
        <w:ilvl w:val="4"/>
        <w:numId w:val="13"/>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45775"/>
    <w:pPr>
      <w:keepNext/>
      <w:keepLines/>
      <w:numPr>
        <w:ilvl w:val="5"/>
        <w:numId w:val="13"/>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45775"/>
    <w:pPr>
      <w:keepNext/>
      <w:keepLines/>
      <w:numPr>
        <w:ilvl w:val="6"/>
        <w:numId w:val="13"/>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45775"/>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45775"/>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750F"/>
    <w:rPr>
      <w:color w:val="0000FF" w:themeColor="hyperlink"/>
      <w:u w:val="single"/>
    </w:rPr>
  </w:style>
  <w:style w:type="paragraph" w:styleId="ListParagraph">
    <w:name w:val="List Paragraph"/>
    <w:basedOn w:val="Normal"/>
    <w:uiPriority w:val="34"/>
    <w:qFormat/>
    <w:rsid w:val="000B750F"/>
    <w:pPr>
      <w:ind w:left="720"/>
      <w:contextualSpacing/>
    </w:pPr>
  </w:style>
  <w:style w:type="paragraph" w:styleId="FootnoteText">
    <w:name w:val="footnote text"/>
    <w:basedOn w:val="Normal"/>
    <w:link w:val="FootnoteTextChar"/>
    <w:uiPriority w:val="99"/>
    <w:semiHidden/>
    <w:unhideWhenUsed/>
    <w:rsid w:val="000D3C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3C45"/>
    <w:rPr>
      <w:sz w:val="20"/>
      <w:szCs w:val="20"/>
    </w:rPr>
  </w:style>
  <w:style w:type="character" w:styleId="FootnoteReference">
    <w:name w:val="footnote reference"/>
    <w:basedOn w:val="DefaultParagraphFont"/>
    <w:uiPriority w:val="99"/>
    <w:semiHidden/>
    <w:unhideWhenUsed/>
    <w:rsid w:val="000D3C45"/>
    <w:rPr>
      <w:vertAlign w:val="superscript"/>
    </w:rPr>
  </w:style>
  <w:style w:type="character" w:styleId="CommentReference">
    <w:name w:val="annotation reference"/>
    <w:basedOn w:val="DefaultParagraphFont"/>
    <w:uiPriority w:val="99"/>
    <w:semiHidden/>
    <w:unhideWhenUsed/>
    <w:rsid w:val="00033388"/>
    <w:rPr>
      <w:sz w:val="16"/>
      <w:szCs w:val="16"/>
    </w:rPr>
  </w:style>
  <w:style w:type="paragraph" w:styleId="CommentText">
    <w:name w:val="annotation text"/>
    <w:basedOn w:val="Normal"/>
    <w:link w:val="CommentTextChar"/>
    <w:uiPriority w:val="99"/>
    <w:unhideWhenUsed/>
    <w:rsid w:val="00033388"/>
    <w:pPr>
      <w:spacing w:line="240" w:lineRule="auto"/>
    </w:pPr>
    <w:rPr>
      <w:sz w:val="20"/>
      <w:szCs w:val="20"/>
    </w:rPr>
  </w:style>
  <w:style w:type="character" w:customStyle="1" w:styleId="CommentTextChar">
    <w:name w:val="Comment Text Char"/>
    <w:basedOn w:val="DefaultParagraphFont"/>
    <w:link w:val="CommentText"/>
    <w:uiPriority w:val="99"/>
    <w:rsid w:val="00033388"/>
    <w:rPr>
      <w:sz w:val="20"/>
      <w:szCs w:val="20"/>
    </w:rPr>
  </w:style>
  <w:style w:type="paragraph" w:styleId="BalloonText">
    <w:name w:val="Balloon Text"/>
    <w:basedOn w:val="Normal"/>
    <w:link w:val="BalloonTextChar"/>
    <w:uiPriority w:val="99"/>
    <w:semiHidden/>
    <w:unhideWhenUsed/>
    <w:rsid w:val="000333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388"/>
    <w:rPr>
      <w:rFonts w:ascii="Tahoma" w:hAnsi="Tahoma" w:cs="Tahoma"/>
      <w:sz w:val="16"/>
      <w:szCs w:val="16"/>
    </w:rPr>
  </w:style>
  <w:style w:type="paragraph" w:styleId="Header">
    <w:name w:val="header"/>
    <w:basedOn w:val="Normal"/>
    <w:link w:val="HeaderChar"/>
    <w:uiPriority w:val="99"/>
    <w:semiHidden/>
    <w:unhideWhenUsed/>
    <w:rsid w:val="00B676F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676F3"/>
  </w:style>
  <w:style w:type="paragraph" w:styleId="Footer">
    <w:name w:val="footer"/>
    <w:basedOn w:val="Normal"/>
    <w:link w:val="FooterChar"/>
    <w:uiPriority w:val="99"/>
    <w:unhideWhenUsed/>
    <w:rsid w:val="00B676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76F3"/>
  </w:style>
  <w:style w:type="paragraph" w:styleId="CommentSubject">
    <w:name w:val="annotation subject"/>
    <w:basedOn w:val="CommentText"/>
    <w:next w:val="CommentText"/>
    <w:link w:val="CommentSubjectChar"/>
    <w:uiPriority w:val="99"/>
    <w:semiHidden/>
    <w:unhideWhenUsed/>
    <w:rsid w:val="00C437FA"/>
    <w:rPr>
      <w:b/>
      <w:bCs/>
    </w:rPr>
  </w:style>
  <w:style w:type="character" w:customStyle="1" w:styleId="CommentSubjectChar">
    <w:name w:val="Comment Subject Char"/>
    <w:basedOn w:val="CommentTextChar"/>
    <w:link w:val="CommentSubject"/>
    <w:uiPriority w:val="99"/>
    <w:semiHidden/>
    <w:rsid w:val="00C437FA"/>
    <w:rPr>
      <w:b/>
      <w:bCs/>
      <w:sz w:val="20"/>
      <w:szCs w:val="20"/>
    </w:rPr>
  </w:style>
  <w:style w:type="paragraph" w:customStyle="1" w:styleId="Normal1">
    <w:name w:val="Normal1"/>
    <w:rsid w:val="005727B9"/>
    <w:pPr>
      <w:widowControl w:val="0"/>
      <w:spacing w:after="160" w:line="259" w:lineRule="auto"/>
    </w:pPr>
    <w:rPr>
      <w:rFonts w:ascii="Verdana" w:eastAsia="Verdana" w:hAnsi="Verdana" w:cs="Verdana"/>
      <w:color w:val="000000"/>
      <w:lang w:eastAsia="en-GB"/>
    </w:rPr>
  </w:style>
  <w:style w:type="paragraph" w:customStyle="1" w:styleId="Default">
    <w:name w:val="Default"/>
    <w:rsid w:val="00C1572F"/>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1"/>
    <w:qFormat/>
    <w:rsid w:val="00C1572F"/>
    <w:pPr>
      <w:spacing w:after="0" w:line="240" w:lineRule="auto"/>
    </w:pPr>
  </w:style>
  <w:style w:type="character" w:customStyle="1" w:styleId="NoSpacingChar">
    <w:name w:val="No Spacing Char"/>
    <w:basedOn w:val="DefaultParagraphFont"/>
    <w:link w:val="NoSpacing"/>
    <w:uiPriority w:val="1"/>
    <w:rsid w:val="005B2ABD"/>
  </w:style>
  <w:style w:type="character" w:customStyle="1" w:styleId="Heading1Char">
    <w:name w:val="Heading 1 Char"/>
    <w:basedOn w:val="DefaultParagraphFont"/>
    <w:link w:val="Heading1"/>
    <w:uiPriority w:val="9"/>
    <w:rsid w:val="00B34D0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A4577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A4577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A45775"/>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4577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4577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4577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4577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45775"/>
    <w:rPr>
      <w:rFonts w:asciiTheme="majorHAnsi" w:eastAsiaTheme="majorEastAsia" w:hAnsiTheme="majorHAnsi" w:cstheme="majorBidi"/>
      <w:i/>
      <w:iCs/>
      <w:color w:val="272727" w:themeColor="text1" w:themeTint="D8"/>
      <w:sz w:val="21"/>
      <w:szCs w:val="21"/>
    </w:rPr>
  </w:style>
  <w:style w:type="table" w:styleId="TableGridLight">
    <w:name w:val="Grid Table Light"/>
    <w:basedOn w:val="TableNormal"/>
    <w:uiPriority w:val="40"/>
    <w:rsid w:val="00A4577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aption">
    <w:name w:val="caption"/>
    <w:basedOn w:val="Normal"/>
    <w:next w:val="Normal"/>
    <w:uiPriority w:val="35"/>
    <w:unhideWhenUsed/>
    <w:qFormat/>
    <w:rsid w:val="00A45775"/>
    <w:pPr>
      <w:spacing w:line="240" w:lineRule="auto"/>
    </w:pPr>
    <w:rPr>
      <w:i/>
      <w:iCs/>
      <w:color w:val="1F497D" w:themeColor="text2"/>
      <w:sz w:val="18"/>
      <w:szCs w:val="18"/>
    </w:rPr>
  </w:style>
  <w:style w:type="table" w:styleId="PlainTable1">
    <w:name w:val="Plain Table 1"/>
    <w:basedOn w:val="TableNormal"/>
    <w:uiPriority w:val="41"/>
    <w:rsid w:val="00CF182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basedOn w:val="Heading1"/>
    <w:next w:val="Normal"/>
    <w:uiPriority w:val="39"/>
    <w:unhideWhenUsed/>
    <w:qFormat/>
    <w:rsid w:val="00BB33A8"/>
    <w:pPr>
      <w:numPr>
        <w:numId w:val="0"/>
      </w:numPr>
      <w:spacing w:line="259" w:lineRule="auto"/>
      <w:outlineLvl w:val="9"/>
    </w:pPr>
    <w:rPr>
      <w:lang w:val="en-US"/>
    </w:rPr>
  </w:style>
  <w:style w:type="paragraph" w:styleId="TOC1">
    <w:name w:val="toc 1"/>
    <w:basedOn w:val="Normal"/>
    <w:next w:val="Normal"/>
    <w:autoRedefine/>
    <w:uiPriority w:val="39"/>
    <w:unhideWhenUsed/>
    <w:rsid w:val="00BB33A8"/>
    <w:pPr>
      <w:spacing w:after="100"/>
    </w:pPr>
  </w:style>
  <w:style w:type="paragraph" w:styleId="TOC2">
    <w:name w:val="toc 2"/>
    <w:basedOn w:val="Normal"/>
    <w:next w:val="Normal"/>
    <w:autoRedefine/>
    <w:uiPriority w:val="39"/>
    <w:unhideWhenUsed/>
    <w:rsid w:val="00BB33A8"/>
    <w:pPr>
      <w:spacing w:after="100"/>
      <w:ind w:left="220"/>
    </w:pPr>
  </w:style>
  <w:style w:type="paragraph" w:styleId="Revision">
    <w:name w:val="Revision"/>
    <w:hidden/>
    <w:uiPriority w:val="99"/>
    <w:semiHidden/>
    <w:rsid w:val="00AF3449"/>
    <w:pPr>
      <w:spacing w:after="0" w:line="240" w:lineRule="auto"/>
    </w:pPr>
  </w:style>
  <w:style w:type="character" w:styleId="Strong">
    <w:name w:val="Strong"/>
    <w:basedOn w:val="DefaultParagraphFont"/>
    <w:uiPriority w:val="22"/>
    <w:qFormat/>
    <w:rsid w:val="0064496E"/>
    <w:rPr>
      <w:b/>
      <w:bCs/>
    </w:rPr>
  </w:style>
  <w:style w:type="character" w:styleId="FollowedHyperlink">
    <w:name w:val="FollowedHyperlink"/>
    <w:basedOn w:val="DefaultParagraphFont"/>
    <w:uiPriority w:val="99"/>
    <w:semiHidden/>
    <w:unhideWhenUsed/>
    <w:rsid w:val="009A2114"/>
    <w:rPr>
      <w:color w:val="800080" w:themeColor="followedHyperlink"/>
      <w:u w:val="single"/>
    </w:rPr>
  </w:style>
  <w:style w:type="character" w:customStyle="1" w:styleId="UnresolvedMention1">
    <w:name w:val="Unresolved Mention1"/>
    <w:basedOn w:val="DefaultParagraphFont"/>
    <w:uiPriority w:val="99"/>
    <w:semiHidden/>
    <w:unhideWhenUsed/>
    <w:rsid w:val="00A26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3676">
      <w:bodyDiv w:val="1"/>
      <w:marLeft w:val="0"/>
      <w:marRight w:val="0"/>
      <w:marTop w:val="0"/>
      <w:marBottom w:val="0"/>
      <w:divBdr>
        <w:top w:val="none" w:sz="0" w:space="0" w:color="auto"/>
        <w:left w:val="none" w:sz="0" w:space="0" w:color="auto"/>
        <w:bottom w:val="none" w:sz="0" w:space="0" w:color="auto"/>
        <w:right w:val="none" w:sz="0" w:space="0" w:color="auto"/>
      </w:divBdr>
    </w:div>
    <w:div w:id="60449457">
      <w:bodyDiv w:val="1"/>
      <w:marLeft w:val="0"/>
      <w:marRight w:val="0"/>
      <w:marTop w:val="0"/>
      <w:marBottom w:val="0"/>
      <w:divBdr>
        <w:top w:val="none" w:sz="0" w:space="0" w:color="auto"/>
        <w:left w:val="none" w:sz="0" w:space="0" w:color="auto"/>
        <w:bottom w:val="none" w:sz="0" w:space="0" w:color="auto"/>
        <w:right w:val="none" w:sz="0" w:space="0" w:color="auto"/>
      </w:divBdr>
    </w:div>
    <w:div w:id="227889708">
      <w:bodyDiv w:val="1"/>
      <w:marLeft w:val="0"/>
      <w:marRight w:val="0"/>
      <w:marTop w:val="0"/>
      <w:marBottom w:val="0"/>
      <w:divBdr>
        <w:top w:val="none" w:sz="0" w:space="0" w:color="auto"/>
        <w:left w:val="none" w:sz="0" w:space="0" w:color="auto"/>
        <w:bottom w:val="none" w:sz="0" w:space="0" w:color="auto"/>
        <w:right w:val="none" w:sz="0" w:space="0" w:color="auto"/>
      </w:divBdr>
    </w:div>
    <w:div w:id="272979899">
      <w:bodyDiv w:val="1"/>
      <w:marLeft w:val="0"/>
      <w:marRight w:val="0"/>
      <w:marTop w:val="0"/>
      <w:marBottom w:val="0"/>
      <w:divBdr>
        <w:top w:val="none" w:sz="0" w:space="0" w:color="auto"/>
        <w:left w:val="none" w:sz="0" w:space="0" w:color="auto"/>
        <w:bottom w:val="none" w:sz="0" w:space="0" w:color="auto"/>
        <w:right w:val="none" w:sz="0" w:space="0" w:color="auto"/>
      </w:divBdr>
    </w:div>
    <w:div w:id="503781829">
      <w:bodyDiv w:val="1"/>
      <w:marLeft w:val="0"/>
      <w:marRight w:val="0"/>
      <w:marTop w:val="0"/>
      <w:marBottom w:val="0"/>
      <w:divBdr>
        <w:top w:val="none" w:sz="0" w:space="0" w:color="auto"/>
        <w:left w:val="none" w:sz="0" w:space="0" w:color="auto"/>
        <w:bottom w:val="none" w:sz="0" w:space="0" w:color="auto"/>
        <w:right w:val="none" w:sz="0" w:space="0" w:color="auto"/>
      </w:divBdr>
    </w:div>
    <w:div w:id="536359647">
      <w:bodyDiv w:val="1"/>
      <w:marLeft w:val="0"/>
      <w:marRight w:val="0"/>
      <w:marTop w:val="0"/>
      <w:marBottom w:val="0"/>
      <w:divBdr>
        <w:top w:val="none" w:sz="0" w:space="0" w:color="auto"/>
        <w:left w:val="none" w:sz="0" w:space="0" w:color="auto"/>
        <w:bottom w:val="none" w:sz="0" w:space="0" w:color="auto"/>
        <w:right w:val="none" w:sz="0" w:space="0" w:color="auto"/>
      </w:divBdr>
    </w:div>
    <w:div w:id="684213537">
      <w:bodyDiv w:val="1"/>
      <w:marLeft w:val="0"/>
      <w:marRight w:val="0"/>
      <w:marTop w:val="0"/>
      <w:marBottom w:val="0"/>
      <w:divBdr>
        <w:top w:val="none" w:sz="0" w:space="0" w:color="auto"/>
        <w:left w:val="none" w:sz="0" w:space="0" w:color="auto"/>
        <w:bottom w:val="none" w:sz="0" w:space="0" w:color="auto"/>
        <w:right w:val="none" w:sz="0" w:space="0" w:color="auto"/>
      </w:divBdr>
    </w:div>
    <w:div w:id="793595921">
      <w:bodyDiv w:val="1"/>
      <w:marLeft w:val="0"/>
      <w:marRight w:val="0"/>
      <w:marTop w:val="0"/>
      <w:marBottom w:val="0"/>
      <w:divBdr>
        <w:top w:val="none" w:sz="0" w:space="0" w:color="auto"/>
        <w:left w:val="none" w:sz="0" w:space="0" w:color="auto"/>
        <w:bottom w:val="none" w:sz="0" w:space="0" w:color="auto"/>
        <w:right w:val="none" w:sz="0" w:space="0" w:color="auto"/>
      </w:divBdr>
    </w:div>
    <w:div w:id="959334772">
      <w:bodyDiv w:val="1"/>
      <w:marLeft w:val="0"/>
      <w:marRight w:val="0"/>
      <w:marTop w:val="0"/>
      <w:marBottom w:val="0"/>
      <w:divBdr>
        <w:top w:val="none" w:sz="0" w:space="0" w:color="auto"/>
        <w:left w:val="none" w:sz="0" w:space="0" w:color="auto"/>
        <w:bottom w:val="none" w:sz="0" w:space="0" w:color="auto"/>
        <w:right w:val="none" w:sz="0" w:space="0" w:color="auto"/>
      </w:divBdr>
    </w:div>
    <w:div w:id="960302875">
      <w:bodyDiv w:val="1"/>
      <w:marLeft w:val="0"/>
      <w:marRight w:val="0"/>
      <w:marTop w:val="0"/>
      <w:marBottom w:val="0"/>
      <w:divBdr>
        <w:top w:val="none" w:sz="0" w:space="0" w:color="auto"/>
        <w:left w:val="none" w:sz="0" w:space="0" w:color="auto"/>
        <w:bottom w:val="none" w:sz="0" w:space="0" w:color="auto"/>
        <w:right w:val="none" w:sz="0" w:space="0" w:color="auto"/>
      </w:divBdr>
    </w:div>
    <w:div w:id="1348214322">
      <w:bodyDiv w:val="1"/>
      <w:marLeft w:val="0"/>
      <w:marRight w:val="0"/>
      <w:marTop w:val="0"/>
      <w:marBottom w:val="0"/>
      <w:divBdr>
        <w:top w:val="none" w:sz="0" w:space="0" w:color="auto"/>
        <w:left w:val="none" w:sz="0" w:space="0" w:color="auto"/>
        <w:bottom w:val="none" w:sz="0" w:space="0" w:color="auto"/>
        <w:right w:val="none" w:sz="0" w:space="0" w:color="auto"/>
      </w:divBdr>
    </w:div>
    <w:div w:id="1465536503">
      <w:bodyDiv w:val="1"/>
      <w:marLeft w:val="0"/>
      <w:marRight w:val="0"/>
      <w:marTop w:val="0"/>
      <w:marBottom w:val="0"/>
      <w:divBdr>
        <w:top w:val="none" w:sz="0" w:space="0" w:color="auto"/>
        <w:left w:val="none" w:sz="0" w:space="0" w:color="auto"/>
        <w:bottom w:val="none" w:sz="0" w:space="0" w:color="auto"/>
        <w:right w:val="none" w:sz="0" w:space="0" w:color="auto"/>
      </w:divBdr>
    </w:div>
    <w:div w:id="1465655183">
      <w:bodyDiv w:val="1"/>
      <w:marLeft w:val="0"/>
      <w:marRight w:val="0"/>
      <w:marTop w:val="0"/>
      <w:marBottom w:val="0"/>
      <w:divBdr>
        <w:top w:val="none" w:sz="0" w:space="0" w:color="auto"/>
        <w:left w:val="none" w:sz="0" w:space="0" w:color="auto"/>
        <w:bottom w:val="none" w:sz="0" w:space="0" w:color="auto"/>
        <w:right w:val="none" w:sz="0" w:space="0" w:color="auto"/>
      </w:divBdr>
    </w:div>
    <w:div w:id="1564488350">
      <w:bodyDiv w:val="1"/>
      <w:marLeft w:val="0"/>
      <w:marRight w:val="0"/>
      <w:marTop w:val="0"/>
      <w:marBottom w:val="0"/>
      <w:divBdr>
        <w:top w:val="none" w:sz="0" w:space="0" w:color="auto"/>
        <w:left w:val="none" w:sz="0" w:space="0" w:color="auto"/>
        <w:bottom w:val="none" w:sz="0" w:space="0" w:color="auto"/>
        <w:right w:val="none" w:sz="0" w:space="0" w:color="auto"/>
      </w:divBdr>
    </w:div>
    <w:div w:id="1572347775">
      <w:bodyDiv w:val="1"/>
      <w:marLeft w:val="0"/>
      <w:marRight w:val="0"/>
      <w:marTop w:val="0"/>
      <w:marBottom w:val="0"/>
      <w:divBdr>
        <w:top w:val="none" w:sz="0" w:space="0" w:color="auto"/>
        <w:left w:val="none" w:sz="0" w:space="0" w:color="auto"/>
        <w:bottom w:val="none" w:sz="0" w:space="0" w:color="auto"/>
        <w:right w:val="none" w:sz="0" w:space="0" w:color="auto"/>
      </w:divBdr>
    </w:div>
    <w:div w:id="1600604881">
      <w:bodyDiv w:val="1"/>
      <w:marLeft w:val="0"/>
      <w:marRight w:val="0"/>
      <w:marTop w:val="0"/>
      <w:marBottom w:val="0"/>
      <w:divBdr>
        <w:top w:val="none" w:sz="0" w:space="0" w:color="auto"/>
        <w:left w:val="none" w:sz="0" w:space="0" w:color="auto"/>
        <w:bottom w:val="none" w:sz="0" w:space="0" w:color="auto"/>
        <w:right w:val="none" w:sz="0" w:space="0" w:color="auto"/>
      </w:divBdr>
    </w:div>
    <w:div w:id="1640188677">
      <w:bodyDiv w:val="1"/>
      <w:marLeft w:val="0"/>
      <w:marRight w:val="0"/>
      <w:marTop w:val="0"/>
      <w:marBottom w:val="0"/>
      <w:divBdr>
        <w:top w:val="none" w:sz="0" w:space="0" w:color="auto"/>
        <w:left w:val="none" w:sz="0" w:space="0" w:color="auto"/>
        <w:bottom w:val="none" w:sz="0" w:space="0" w:color="auto"/>
        <w:right w:val="none" w:sz="0" w:space="0" w:color="auto"/>
      </w:divBdr>
    </w:div>
    <w:div w:id="1653871379">
      <w:bodyDiv w:val="1"/>
      <w:marLeft w:val="0"/>
      <w:marRight w:val="0"/>
      <w:marTop w:val="0"/>
      <w:marBottom w:val="0"/>
      <w:divBdr>
        <w:top w:val="none" w:sz="0" w:space="0" w:color="auto"/>
        <w:left w:val="none" w:sz="0" w:space="0" w:color="auto"/>
        <w:bottom w:val="none" w:sz="0" w:space="0" w:color="auto"/>
        <w:right w:val="none" w:sz="0" w:space="0" w:color="auto"/>
      </w:divBdr>
    </w:div>
    <w:div w:id="1683166791">
      <w:bodyDiv w:val="1"/>
      <w:marLeft w:val="0"/>
      <w:marRight w:val="0"/>
      <w:marTop w:val="0"/>
      <w:marBottom w:val="0"/>
      <w:divBdr>
        <w:top w:val="none" w:sz="0" w:space="0" w:color="auto"/>
        <w:left w:val="none" w:sz="0" w:space="0" w:color="auto"/>
        <w:bottom w:val="none" w:sz="0" w:space="0" w:color="auto"/>
        <w:right w:val="none" w:sz="0" w:space="0" w:color="auto"/>
      </w:divBdr>
    </w:div>
    <w:div w:id="1700622210">
      <w:bodyDiv w:val="1"/>
      <w:marLeft w:val="0"/>
      <w:marRight w:val="0"/>
      <w:marTop w:val="0"/>
      <w:marBottom w:val="0"/>
      <w:divBdr>
        <w:top w:val="none" w:sz="0" w:space="0" w:color="auto"/>
        <w:left w:val="none" w:sz="0" w:space="0" w:color="auto"/>
        <w:bottom w:val="none" w:sz="0" w:space="0" w:color="auto"/>
        <w:right w:val="none" w:sz="0" w:space="0" w:color="auto"/>
      </w:divBdr>
    </w:div>
    <w:div w:id="1742556125">
      <w:bodyDiv w:val="1"/>
      <w:marLeft w:val="0"/>
      <w:marRight w:val="0"/>
      <w:marTop w:val="0"/>
      <w:marBottom w:val="0"/>
      <w:divBdr>
        <w:top w:val="none" w:sz="0" w:space="0" w:color="auto"/>
        <w:left w:val="none" w:sz="0" w:space="0" w:color="auto"/>
        <w:bottom w:val="none" w:sz="0" w:space="0" w:color="auto"/>
        <w:right w:val="none" w:sz="0" w:space="0" w:color="auto"/>
      </w:divBdr>
    </w:div>
    <w:div w:id="1828740139">
      <w:bodyDiv w:val="1"/>
      <w:marLeft w:val="0"/>
      <w:marRight w:val="0"/>
      <w:marTop w:val="0"/>
      <w:marBottom w:val="0"/>
      <w:divBdr>
        <w:top w:val="none" w:sz="0" w:space="0" w:color="auto"/>
        <w:left w:val="none" w:sz="0" w:space="0" w:color="auto"/>
        <w:bottom w:val="none" w:sz="0" w:space="0" w:color="auto"/>
        <w:right w:val="none" w:sz="0" w:space="0" w:color="auto"/>
      </w:divBdr>
    </w:div>
    <w:div w:id="1881165211">
      <w:bodyDiv w:val="1"/>
      <w:marLeft w:val="0"/>
      <w:marRight w:val="0"/>
      <w:marTop w:val="0"/>
      <w:marBottom w:val="0"/>
      <w:divBdr>
        <w:top w:val="none" w:sz="0" w:space="0" w:color="auto"/>
        <w:left w:val="none" w:sz="0" w:space="0" w:color="auto"/>
        <w:bottom w:val="none" w:sz="0" w:space="0" w:color="auto"/>
        <w:right w:val="none" w:sz="0" w:space="0" w:color="auto"/>
      </w:divBdr>
    </w:div>
    <w:div w:id="1930575992">
      <w:bodyDiv w:val="1"/>
      <w:marLeft w:val="0"/>
      <w:marRight w:val="0"/>
      <w:marTop w:val="0"/>
      <w:marBottom w:val="0"/>
      <w:divBdr>
        <w:top w:val="none" w:sz="0" w:space="0" w:color="auto"/>
        <w:left w:val="none" w:sz="0" w:space="0" w:color="auto"/>
        <w:bottom w:val="none" w:sz="0" w:space="0" w:color="auto"/>
        <w:right w:val="none" w:sz="0" w:space="0" w:color="auto"/>
      </w:divBdr>
    </w:div>
    <w:div w:id="1992636328">
      <w:bodyDiv w:val="1"/>
      <w:marLeft w:val="0"/>
      <w:marRight w:val="0"/>
      <w:marTop w:val="0"/>
      <w:marBottom w:val="0"/>
      <w:divBdr>
        <w:top w:val="none" w:sz="0" w:space="0" w:color="auto"/>
        <w:left w:val="none" w:sz="0" w:space="0" w:color="auto"/>
        <w:bottom w:val="none" w:sz="0" w:space="0" w:color="auto"/>
        <w:right w:val="none" w:sz="0" w:space="0" w:color="auto"/>
      </w:divBdr>
    </w:div>
    <w:div w:id="212168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90F8DA605B4E69881376820A9E8111"/>
        <w:category>
          <w:name w:val="General"/>
          <w:gallery w:val="placeholder"/>
        </w:category>
        <w:types>
          <w:type w:val="bbPlcHdr"/>
        </w:types>
        <w:behaviors>
          <w:behavior w:val="content"/>
        </w:behaviors>
        <w:guid w:val="{D45FFF17-B919-444D-BB70-78BDE6FB5F4C}"/>
      </w:docPartPr>
      <w:docPartBody>
        <w:p w:rsidR="008E7D32" w:rsidRDefault="00387B02" w:rsidP="00387B02">
          <w:pPr>
            <w:pStyle w:val="0E90F8DA605B4E69881376820A9E8111"/>
          </w:pPr>
          <w:r>
            <w:rPr>
              <w:rFonts w:asciiTheme="majorHAnsi" w:eastAsiaTheme="majorEastAsia" w:hAnsiTheme="majorHAnsi" w:cstheme="majorBidi"/>
              <w:color w:val="4472C4" w:themeColor="accent1"/>
              <w:sz w:val="88"/>
              <w:szCs w:val="88"/>
            </w:rPr>
            <w:t>[Document title]</w:t>
          </w:r>
        </w:p>
      </w:docPartBody>
    </w:docPart>
    <w:docPart>
      <w:docPartPr>
        <w:name w:val="630AE7FE84554CE6ADE1B2DE9BC8E300"/>
        <w:category>
          <w:name w:val="General"/>
          <w:gallery w:val="placeholder"/>
        </w:category>
        <w:types>
          <w:type w:val="bbPlcHdr"/>
        </w:types>
        <w:behaviors>
          <w:behavior w:val="content"/>
        </w:behaviors>
        <w:guid w:val="{4F5DD3EB-1EAF-4F8A-B432-5D7DF70A1A7C}"/>
      </w:docPartPr>
      <w:docPartBody>
        <w:p w:rsidR="008E7D32" w:rsidRDefault="00387B02" w:rsidP="00387B02">
          <w:pPr>
            <w:pStyle w:val="630AE7FE84554CE6ADE1B2DE9BC8E300"/>
          </w:pPr>
          <w:r>
            <w:rPr>
              <w:color w:val="2F5496" w:themeColor="accent1" w:themeShade="BF"/>
              <w:sz w:val="24"/>
              <w:szCs w:val="24"/>
            </w:rPr>
            <w:t>[Document subtitle]</w:t>
          </w:r>
        </w:p>
      </w:docPartBody>
    </w:docPart>
    <w:docPart>
      <w:docPartPr>
        <w:name w:val="621400D7D1404229831F87BCB237C826"/>
        <w:category>
          <w:name w:val="General"/>
          <w:gallery w:val="placeholder"/>
        </w:category>
        <w:types>
          <w:type w:val="bbPlcHdr"/>
        </w:types>
        <w:behaviors>
          <w:behavior w:val="content"/>
        </w:behaviors>
        <w:guid w:val="{CF5EE0B8-CE28-48AB-8547-AB442E1690FF}"/>
      </w:docPartPr>
      <w:docPartBody>
        <w:p w:rsidR="008E7D32" w:rsidRDefault="00387B02" w:rsidP="00387B02">
          <w:pPr>
            <w:pStyle w:val="621400D7D1404229831F87BCB237C826"/>
          </w:pPr>
          <w:r>
            <w:rPr>
              <w:color w:val="4472C4" w:themeColor="accent1"/>
              <w:sz w:val="28"/>
              <w:szCs w:val="2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B02"/>
    <w:rsid w:val="00012515"/>
    <w:rsid w:val="00016A5C"/>
    <w:rsid w:val="000A7F92"/>
    <w:rsid w:val="000E6DD5"/>
    <w:rsid w:val="00162802"/>
    <w:rsid w:val="001B7A54"/>
    <w:rsid w:val="002E4082"/>
    <w:rsid w:val="00313A34"/>
    <w:rsid w:val="00354EB4"/>
    <w:rsid w:val="00387B02"/>
    <w:rsid w:val="003C5A7F"/>
    <w:rsid w:val="004765ED"/>
    <w:rsid w:val="00494FEB"/>
    <w:rsid w:val="0057611C"/>
    <w:rsid w:val="005D7570"/>
    <w:rsid w:val="006301E3"/>
    <w:rsid w:val="006B0985"/>
    <w:rsid w:val="006E47AE"/>
    <w:rsid w:val="006E60D8"/>
    <w:rsid w:val="006F29C2"/>
    <w:rsid w:val="006F5C01"/>
    <w:rsid w:val="00826872"/>
    <w:rsid w:val="008E7D32"/>
    <w:rsid w:val="00925CB7"/>
    <w:rsid w:val="00944409"/>
    <w:rsid w:val="009A26C8"/>
    <w:rsid w:val="00A4209C"/>
    <w:rsid w:val="00AD3ECF"/>
    <w:rsid w:val="00B428F2"/>
    <w:rsid w:val="00B72044"/>
    <w:rsid w:val="00B91423"/>
    <w:rsid w:val="00C65040"/>
    <w:rsid w:val="00C9457A"/>
    <w:rsid w:val="00D03CB4"/>
    <w:rsid w:val="00D25FC9"/>
    <w:rsid w:val="00D652FD"/>
    <w:rsid w:val="00D817F3"/>
    <w:rsid w:val="00DA6740"/>
    <w:rsid w:val="00DB7C6C"/>
    <w:rsid w:val="00DF5A14"/>
    <w:rsid w:val="00EB7B29"/>
    <w:rsid w:val="00EC2C3D"/>
    <w:rsid w:val="00EC421D"/>
    <w:rsid w:val="00EF6331"/>
    <w:rsid w:val="00F13F2F"/>
    <w:rsid w:val="00F164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197A5F7A674B859A35DDFF7FF0A835">
    <w:name w:val="AB197A5F7A674B859A35DDFF7FF0A835"/>
    <w:rsid w:val="00387B02"/>
  </w:style>
  <w:style w:type="paragraph" w:customStyle="1" w:styleId="0E90F8DA605B4E69881376820A9E8111">
    <w:name w:val="0E90F8DA605B4E69881376820A9E8111"/>
    <w:rsid w:val="00387B02"/>
  </w:style>
  <w:style w:type="paragraph" w:customStyle="1" w:styleId="630AE7FE84554CE6ADE1B2DE9BC8E300">
    <w:name w:val="630AE7FE84554CE6ADE1B2DE9BC8E300"/>
    <w:rsid w:val="00387B02"/>
  </w:style>
  <w:style w:type="paragraph" w:customStyle="1" w:styleId="621400D7D1404229831F87BCB237C826">
    <w:name w:val="621400D7D1404229831F87BCB237C826"/>
    <w:rsid w:val="00387B02"/>
  </w:style>
  <w:style w:type="paragraph" w:customStyle="1" w:styleId="30D9ADB8D0E14FA3B97947E906866EB3">
    <w:name w:val="30D9ADB8D0E14FA3B97947E906866EB3"/>
    <w:rsid w:val="00387B02"/>
  </w:style>
  <w:style w:type="paragraph" w:customStyle="1" w:styleId="317E3BEEEB7B4047A51C317D3B0DA585">
    <w:name w:val="317E3BEEEB7B4047A51C317D3B0DA585"/>
    <w:rsid w:val="00387B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93D956-03EF-4C3E-A97D-F8D900DA7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3163</Words>
  <Characters>18031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Malta’s Annual Report pursuant to Article 24(1) of Directive 2012/27/EU on Energy Efficiency</vt:lpstr>
    </vt:vector>
  </TitlesOfParts>
  <Company/>
  <LinksUpToDate>false</LinksUpToDate>
  <CharactersWithSpaces>21152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Malta’s Annual Report pursuant to Article 24(1) of Directive 2012/27/EU on Energy Efficiency</dc:title>
  <dc:subject>April 2020</dc:subject>
  <dc:creator>The Energy and Water Agency, Ministry for Energy and Water Management</dc:creator>
  <cp:keywords/>
  <dc:description/>
  <cp:lastModifiedBy>Farrugia Bernice B at MEW-PDPID</cp:lastModifiedBy>
  <cp:revision>5</cp:revision>
  <dcterms:created xsi:type="dcterms:W3CDTF">2020-04-27T11:42:00Z</dcterms:created>
  <dcterms:modified xsi:type="dcterms:W3CDTF">2020-04-28T12:36:00Z</dcterms:modified>
</cp:coreProperties>
</file>